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5A5" w:rsidRDefault="00B135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p>
    <w:p w:rsidR="00B135A5" w:rsidRDefault="002F6AD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B135A5" w:rsidRDefault="00B135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B135A5" w:rsidRDefault="002F6AD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7"/>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B135A5">
        <w:tc>
          <w:tcPr>
            <w:tcW w:w="2263" w:type="dxa"/>
          </w:tcPr>
          <w:p w:rsidR="00B135A5" w:rsidRDefault="002F6AD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B135A5" w:rsidRDefault="002F6AD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B135A5" w:rsidRDefault="002F6AD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B135A5" w:rsidRDefault="002F6AD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B135A5" w:rsidRDefault="002F6AD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and may not otherwise be determined by the Processor.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an assessment of the necessity and </w:t>
      </w:r>
      <w:r>
        <w:rPr>
          <w:rFonts w:ascii="Arial" w:eastAsia="Arial" w:hAnsi="Arial" w:cs="Arial"/>
          <w:sz w:val="24"/>
          <w:szCs w:val="24"/>
        </w:rPr>
        <w:t>proportionality of the Processing in relation to the Deliverables;</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w:t>
      </w:r>
      <w:r>
        <w:rPr>
          <w:rFonts w:ascii="Arial" w:eastAsia="Arial" w:hAnsi="Arial" w:cs="Arial"/>
          <w:sz w:val="24"/>
          <w:szCs w:val="24"/>
        </w:rPr>
        <w:t xml:space="preserve"> protection of Personal Data.</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and shall not Process</w:t>
      </w:r>
      <w:r>
        <w:rPr>
          <w:rFonts w:ascii="Arial" w:eastAsia="Arial" w:hAnsi="Arial" w:cs="Arial"/>
          <w:sz w:val="24"/>
          <w:szCs w:val="24"/>
        </w:rPr>
        <w:t xml:space="preserve"> the Personal Data for any other purpose, unless the Processor is required to do otherwise by Law. If it is so required the Processor shall notify the Controller before Processing the Personal Data unless prohibited by Law;</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a Data Loss Event,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w:t>
      </w:r>
      <w:r>
        <w:rPr>
          <w:rFonts w:ascii="Arial" w:eastAsia="Arial" w:hAnsi="Arial" w:cs="Arial"/>
          <w:sz w:val="24"/>
          <w:szCs w:val="24"/>
        </w:rPr>
        <w:t xml:space="preserve">nt of the Controller reasonably rejecting Protection Measures put in place by the Processor, the Processor must propose alternative Protective Measures to the satisfaction of the Controller. Failure to reject shall not amount to approval by the Controller </w:t>
      </w:r>
      <w:r>
        <w:rPr>
          <w:rFonts w:ascii="Arial" w:eastAsia="Arial" w:hAnsi="Arial" w:cs="Arial"/>
          <w:sz w:val="24"/>
          <w:szCs w:val="24"/>
        </w:rPr>
        <w:t>of the adequacy of the Protective Measures. Protective Measures must take account of the:</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 xml:space="preserve">ensure </w:t>
      </w:r>
      <w:r>
        <w:rPr>
          <w:rFonts w:ascii="Arial" w:eastAsia="Arial" w:hAnsi="Arial" w:cs="Arial"/>
          <w:sz w:val="24"/>
          <w:szCs w:val="24"/>
        </w:rPr>
        <w:t>that:</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w:t>
      </w:r>
      <w:r>
        <w:rPr>
          <w:rFonts w:ascii="Arial" w:eastAsia="Arial" w:hAnsi="Arial" w:cs="Arial"/>
          <w:sz w:val="24"/>
          <w:szCs w:val="24"/>
        </w:rPr>
        <w:t>ave access to the Personal Data and ensure that they:</w:t>
      </w:r>
    </w:p>
    <w:p w:rsidR="00B135A5" w:rsidRDefault="002F6ADE">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w:t>
      </w:r>
      <w:r>
        <w:rPr>
          <w:rFonts w:ascii="Arial" w:eastAsia="Arial" w:hAnsi="Arial" w:cs="Arial"/>
          <w:sz w:val="24"/>
          <w:szCs w:val="24"/>
        </w:rPr>
        <w:t>erms;</w:t>
      </w:r>
    </w:p>
    <w:p w:rsidR="00B135A5" w:rsidRDefault="002F6ADE">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B135A5" w:rsidRDefault="002F6ADE">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B135A5" w:rsidRDefault="002F6ADE">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have under</w:t>
      </w:r>
      <w:r>
        <w:rPr>
          <w:rFonts w:ascii="Arial" w:eastAsia="Arial" w:hAnsi="Arial" w:cs="Arial"/>
          <w:sz w:val="24"/>
          <w:szCs w:val="24"/>
        </w:rPr>
        <w:t xml:space="preserve">gone adequate training in the use, care, protection and handling of Personal Data;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Process, or otherwise make available for Processing, Personal Data outside of the UK unless the prior written consent of the Controller has been obtained (suc</w:t>
      </w:r>
      <w:r>
        <w:rPr>
          <w:rFonts w:ascii="Arial" w:eastAsia="Arial" w:hAnsi="Arial" w:cs="Arial"/>
          <w:sz w:val="24"/>
          <w:szCs w:val="24"/>
        </w:rPr>
        <w:t>h consent may be withheld or</w:t>
      </w:r>
      <w:r>
        <w:t xml:space="preserve"> </w:t>
      </w:r>
      <w:r>
        <w:rPr>
          <w:rFonts w:ascii="Arial" w:eastAsia="Arial" w:hAnsi="Arial" w:cs="Arial"/>
          <w:sz w:val="24"/>
          <w:szCs w:val="24"/>
        </w:rPr>
        <w:t>subject to such conditions as the Customer considers fit at the Customer's absolute discretion) and the following conditions are fulfilled:</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w:t>
      </w:r>
      <w:r>
        <w:rPr>
          <w:rFonts w:ascii="Arial" w:eastAsia="Arial" w:hAnsi="Arial" w:cs="Arial"/>
          <w:sz w:val="24"/>
          <w:szCs w:val="24"/>
        </w:rPr>
        <w:t>nce with Article 45 UK GDPR or section 74 of the DPA 2018;</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Controller or the Processor has provided appropriate safeguards in relation to the transfer (whether in accordance with UK GDPR Article 46 or section 75 DPA 2018) as determined by the Controller;</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w:t>
      </w:r>
      <w:r>
        <w:rPr>
          <w:rFonts w:ascii="Arial" w:eastAsia="Arial" w:hAnsi="Arial" w:cs="Arial"/>
          <w:sz w:val="24"/>
          <w:szCs w:val="24"/>
        </w:rPr>
        <w:t>he Data Subject has enforceable rights and effective legal remedies;</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w:t>
      </w:r>
      <w:r>
        <w:rPr>
          <w:rFonts w:ascii="Arial" w:eastAsia="Arial" w:hAnsi="Arial" w:cs="Arial"/>
          <w:sz w:val="24"/>
          <w:szCs w:val="24"/>
        </w:rPr>
        <w:t>o bound, uses its best endeavours to assist the Controller in meeting its obligations); and</w:t>
      </w:r>
    </w:p>
    <w:p w:rsidR="00B135A5" w:rsidRDefault="002F6ADE">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rsidR="00B135A5" w:rsidRDefault="002F6ADE">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if any of the mechanisms relied on under paragraph 6(d) in respect of any transfers of Personal Data by the Processor at any time ceases to be valid, the Processor shall, if possible, implement an alternative mechanism to ensure compliance with the Data Pr</w:t>
      </w:r>
      <w:r>
        <w:rPr>
          <w:rFonts w:ascii="Arial" w:eastAsia="Arial" w:hAnsi="Arial" w:cs="Arial"/>
          <w:sz w:val="24"/>
          <w:szCs w:val="24"/>
        </w:rPr>
        <w:t xml:space="preserve">otection Legislation. If no alternative mechanism is available, the Controller and the Processor shall work together in good faith to determine the appropriate measures to be taken, </w:t>
      </w: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any relevant guidance and accepted good industry pract</w:t>
      </w:r>
      <w:r>
        <w:rPr>
          <w:rFonts w:ascii="Arial" w:eastAsia="Arial" w:hAnsi="Arial" w:cs="Arial"/>
          <w:sz w:val="24"/>
          <w:szCs w:val="24"/>
        </w:rPr>
        <w:t>ice. The Controller reserves the right to require the Processor to cease any affected transfers if no alternative mechanism to ensure compliance with Data Protection Legislation is reasonably available; and</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and absolute discretion</w:t>
      </w:r>
      <w:r>
        <w:rPr>
          <w:rFonts w:ascii="Arial" w:eastAsia="Arial" w:hAnsi="Arial" w:cs="Arial"/>
          <w:sz w:val="24"/>
          <w:szCs w:val="24"/>
        </w:rPr>
        <w:t>, of the Controller, delete or return Personal Data (and any copies of it) to the Controller on termination of the Contract unless the Processor is required by Law to retain the Personal Data.</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w:t>
      </w:r>
      <w:r>
        <w:rPr>
          <w:rFonts w:ascii="Arial" w:eastAsia="Arial" w:hAnsi="Arial" w:cs="Arial"/>
          <w:sz w:val="24"/>
          <w:szCs w:val="24"/>
        </w:rPr>
        <w:t xml:space="preserve"> shall notify the Controller immediately if in relation to Processing Personal Data under or in connection with the Contract it:</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receives a Data Subject Access Request (or purported Data Subject Access Request);</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to rectify, block or eras</w:t>
      </w:r>
      <w:r>
        <w:rPr>
          <w:rFonts w:ascii="Arial" w:eastAsia="Arial" w:hAnsi="Arial" w:cs="Arial"/>
          <w:sz w:val="24"/>
          <w:szCs w:val="24"/>
        </w:rPr>
        <w:t xml:space="preserve">e any Personal Data;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the Information Commissioner or any other regulatory authority in co</w:t>
      </w:r>
      <w:r>
        <w:rPr>
          <w:rFonts w:ascii="Arial" w:eastAsia="Arial" w:hAnsi="Arial" w:cs="Arial"/>
          <w:sz w:val="24"/>
          <w:szCs w:val="24"/>
        </w:rPr>
        <w:t xml:space="preserve">nnection with Personal Data Processed under the Contract;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Data Loss Event.</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w:t>
      </w:r>
      <w:r>
        <w:rPr>
          <w:rFonts w:ascii="Arial" w:eastAsia="Arial" w:hAnsi="Arial" w:cs="Arial"/>
          <w:sz w:val="24"/>
          <w:szCs w:val="24"/>
        </w:rPr>
        <w:t>de the Controller with full assistance in relation to either Party's obligations under Data Protection Legislation and any complaint, communication or request made under paragraph 7 of this Joint Schedule 11 (and insofar as possible within the timescales r</w:t>
      </w:r>
      <w:r>
        <w:rPr>
          <w:rFonts w:ascii="Arial" w:eastAsia="Arial" w:hAnsi="Arial" w:cs="Arial"/>
          <w:sz w:val="24"/>
          <w:szCs w:val="24"/>
        </w:rPr>
        <w:t>easonably required by the Controller) including by immediately providing:</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requested by the Controller to enable the Controller to comply with a Da</w:t>
      </w:r>
      <w:r>
        <w:rPr>
          <w:rFonts w:ascii="Arial" w:eastAsia="Arial" w:hAnsi="Arial" w:cs="Arial"/>
          <w:sz w:val="24"/>
          <w:szCs w:val="24"/>
        </w:rPr>
        <w:t xml:space="preserve">ta Subject Access Request within the relevant timescales set out in the Data Protection Legislation;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Da</w:t>
      </w:r>
      <w:r>
        <w:rPr>
          <w:rFonts w:ascii="Arial" w:eastAsia="Arial" w:hAnsi="Arial" w:cs="Arial"/>
          <w:sz w:val="24"/>
          <w:szCs w:val="24"/>
        </w:rPr>
        <w:t xml:space="preserve">ta Loss </w:t>
      </w:r>
      <w:proofErr w:type="gramStart"/>
      <w:r>
        <w:rPr>
          <w:rFonts w:ascii="Arial" w:eastAsia="Arial" w:hAnsi="Arial" w:cs="Arial"/>
          <w:sz w:val="24"/>
          <w:szCs w:val="24"/>
        </w:rPr>
        <w:t>Event;  and</w:t>
      </w:r>
      <w:proofErr w:type="gramEnd"/>
      <w:r>
        <w:rPr>
          <w:rFonts w:ascii="Arial" w:eastAsia="Arial" w:hAnsi="Arial" w:cs="Arial"/>
          <w:sz w:val="24"/>
          <w:szCs w:val="24"/>
        </w:rPr>
        <w:t>/or</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w:t>
      </w:r>
      <w:r>
        <w:rPr>
          <w:rFonts w:ascii="Arial" w:eastAsia="Arial" w:hAnsi="Arial" w:cs="Arial"/>
          <w:sz w:val="24"/>
          <w:szCs w:val="24"/>
        </w:rPr>
        <w:t xml:space="preserve"> and accurate records and information to demonstrate its compliance with this Joint Schedule 11. This requirement does not apply where the Processor employs fewer than 250 staff, unless:</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 xml:space="preserve">the </w:t>
      </w:r>
      <w:r>
        <w:rPr>
          <w:rFonts w:ascii="Arial" w:eastAsia="Arial" w:hAnsi="Arial" w:cs="Arial"/>
          <w:sz w:val="24"/>
          <w:szCs w:val="24"/>
        </w:rPr>
        <w:t>Controller determines the Processing includes special categories of data as referred to in Article 9(1) of the UK GDPR or Personal Data relating to criminal convictions and offences referred to in Article 10 of the UK GDPR; or</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determines tha</w:t>
      </w:r>
      <w:r>
        <w:rPr>
          <w:rFonts w:ascii="Arial" w:eastAsia="Arial" w:hAnsi="Arial" w:cs="Arial"/>
          <w:sz w:val="24"/>
          <w:szCs w:val="24"/>
        </w:rPr>
        <w:t>t the Processing is likely to result in a risk to the rights and freedoms of Data Subjects.</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Data Pr</w:t>
      </w:r>
      <w:r>
        <w:rPr>
          <w:rFonts w:ascii="Arial" w:eastAsia="Arial" w:hAnsi="Arial" w:cs="Arial"/>
          <w:sz w:val="24"/>
          <w:szCs w:val="24"/>
        </w:rPr>
        <w:t xml:space="preserve">otection Officer if required by the Data Protection Legislation.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 that w</w:t>
      </w:r>
      <w:r>
        <w:rPr>
          <w:rFonts w:ascii="Arial" w:eastAsia="Arial" w:hAnsi="Arial" w:cs="Arial"/>
          <w:sz w:val="24"/>
          <w:szCs w:val="24"/>
        </w:rPr>
        <w:t xml:space="preserve">ill be undertaken by the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(such consent may be withheld or subject to such conditions as the Controller considers fit at the Controller’s absolute discretion); </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legally binding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prior to any Personal Data being transferred to or accessed by the </w:t>
      </w:r>
      <w:proofErr w:type="spellStart"/>
      <w:r>
        <w:rPr>
          <w:rFonts w:ascii="Arial" w:eastAsia="Arial" w:hAnsi="Arial" w:cs="Arial"/>
          <w:sz w:val="24"/>
          <w:szCs w:val="24"/>
        </w:rPr>
        <w:t>Subprocessor</w:t>
      </w:r>
      <w:proofErr w:type="spellEnd"/>
      <w:r>
        <w:rPr>
          <w:rFonts w:ascii="Arial" w:eastAsia="Arial" w:hAnsi="Arial" w:cs="Arial"/>
          <w:sz w:val="24"/>
          <w:szCs w:val="24"/>
        </w:rPr>
        <w:t>;</w:t>
      </w:r>
      <w:r>
        <w:rPr>
          <w:rFonts w:ascii="Arial" w:eastAsia="Arial" w:hAnsi="Arial" w:cs="Arial"/>
          <w:sz w:val="24"/>
          <w:szCs w:val="24"/>
        </w:rPr>
        <w:t xml:space="preserve"> and</w:t>
      </w:r>
    </w:p>
    <w:p w:rsidR="00B135A5" w:rsidRDefault="002F6ADE">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Any Processing by a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or transfer of Personal Data to a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permitted by the Controller shall not relieve the Process</w:t>
      </w:r>
      <w:r>
        <w:rPr>
          <w:rFonts w:ascii="Arial" w:eastAsia="Arial" w:hAnsi="Arial" w:cs="Arial"/>
          <w:sz w:val="24"/>
          <w:szCs w:val="24"/>
        </w:rPr>
        <w:t xml:space="preserve">or from any of its liabilities, responsibilities and obligations to the Controller under this Joint Schedule 11, and 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w:t>
      </w:r>
      <w:r>
        <w:rPr>
          <w:rFonts w:ascii="Arial" w:eastAsia="Arial" w:hAnsi="Arial" w:cs="Arial"/>
          <w:sz w:val="24"/>
          <w:szCs w:val="24"/>
        </w:rPr>
        <w:t>ot less than thirty (30) Working Days’ notice, revise this Joint Schedule 11 by replacing it with any applicable controller to processor standard clauses or similar terms forming part of an applicable certification scheme (which shall apply when incorporat</w:t>
      </w:r>
      <w:r>
        <w:rPr>
          <w:rFonts w:ascii="Arial" w:eastAsia="Arial" w:hAnsi="Arial" w:cs="Arial"/>
          <w:sz w:val="24"/>
          <w:szCs w:val="24"/>
        </w:rPr>
        <w:t>ed by attachment to the Contract).</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w:t>
      </w:r>
      <w:r>
        <w:rPr>
          <w:rFonts w:ascii="Arial" w:eastAsia="Arial" w:hAnsi="Arial" w:cs="Arial"/>
          <w:sz w:val="24"/>
          <w:szCs w:val="24"/>
        </w:rPr>
        <w:t xml:space="preserve">that it complies with any guidance issued by the Information Commissioner’s Office. </w:t>
      </w:r>
    </w:p>
    <w:p w:rsidR="00B135A5" w:rsidRDefault="002F6AD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w:t>
      </w:r>
      <w:r>
        <w:rPr>
          <w:rFonts w:ascii="Arial" w:eastAsia="Arial" w:hAnsi="Arial" w:cs="Arial"/>
          <w:sz w:val="24"/>
          <w:szCs w:val="24"/>
        </w:rPr>
        <w:t xml:space="preserve">hall implement paragraphs that are necessary to comply with UK GDPR Article 26 based on the terms set out in Annex 3 to this Joint Schedule 11. </w:t>
      </w:r>
    </w:p>
    <w:p w:rsidR="00B135A5" w:rsidRDefault="002F6AD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With respect to Personal Data provided by one Party to another Party </w:t>
      </w:r>
      <w:r>
        <w:rPr>
          <w:rFonts w:ascii="Arial" w:eastAsia="Arial" w:hAnsi="Arial" w:cs="Arial"/>
          <w:sz w:val="24"/>
          <w:szCs w:val="24"/>
        </w:rPr>
        <w:t>for which each Party acts as Controller but which is not under the Joint Control of the Parties, each Party undertakes to comply with the applicable Data Protection Legislation in respect of their Processing of such Personal Data as Controller.</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w:t>
      </w:r>
      <w:r>
        <w:rPr>
          <w:rFonts w:ascii="Arial" w:eastAsia="Arial" w:hAnsi="Arial" w:cs="Arial"/>
          <w:sz w:val="24"/>
          <w:szCs w:val="24"/>
        </w:rPr>
        <w:t xml:space="preserve">shall Process the Personal Data in compliance with its obligations under the Data Protection Legislation and not do anything to cause the other Party to be in breach of it.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w:t>
      </w:r>
      <w:r>
        <w:rPr>
          <w:rFonts w:ascii="Arial" w:eastAsia="Arial" w:hAnsi="Arial" w:cs="Arial"/>
          <w:sz w:val="24"/>
          <w:szCs w:val="24"/>
        </w:rPr>
        <w:t>s and procedures as the other Party may reasonably require.</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w:t>
      </w:r>
      <w:r>
        <w:rPr>
          <w:rFonts w:ascii="Arial" w:eastAsia="Arial" w:hAnsi="Arial" w:cs="Arial"/>
          <w:sz w:val="24"/>
          <w:szCs w:val="24"/>
        </w:rPr>
        <w:t>ovide Personal Data to each other:</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w:t>
      </w:r>
      <w:r>
        <w:rPr>
          <w:rFonts w:ascii="Arial" w:eastAsia="Arial" w:hAnsi="Arial" w:cs="Arial"/>
          <w:sz w:val="24"/>
          <w:szCs w:val="24"/>
        </w:rPr>
        <w:t>d Data Subjects to meet the requirements of Articles 13 and 14 of the UK GDPR); and</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w:t>
      </w:r>
      <w:r>
        <w:rPr>
          <w:rFonts w:ascii="Arial" w:eastAsia="Arial" w:hAnsi="Arial" w:cs="Arial"/>
          <w:sz w:val="24"/>
          <w:szCs w:val="24"/>
        </w:rPr>
        <w:t>spect to its Processing of Personal Data as Independent Controller, implement and maintain appropriate technical and organisational measures to ensure a level of security appropriate to that risk, including, as appropriate, the measures referred to in Arti</w:t>
      </w:r>
      <w:r>
        <w:rPr>
          <w:rFonts w:ascii="Arial" w:eastAsia="Arial" w:hAnsi="Arial" w:cs="Arial"/>
          <w:sz w:val="24"/>
          <w:szCs w:val="24"/>
        </w:rPr>
        <w:t>cle 32(1)(a), (b), (c) and (d) of the UK GDPR, and the measures shall, at a minimum, comply with the requirements of the Data Protection Legislation, including Article 32 of the UK GDPR.</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w:t>
      </w:r>
      <w:r>
        <w:rPr>
          <w:rFonts w:ascii="Arial" w:eastAsia="Arial" w:hAnsi="Arial" w:cs="Arial"/>
          <w:sz w:val="24"/>
          <w:szCs w:val="24"/>
        </w:rPr>
        <w:t>ll maintain a record of its Processing activities in accordance with Article 30 UK GDPR and shall make the record available to the other Party upon reasonable request.</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of their rights und</w:t>
      </w:r>
      <w:r>
        <w:rPr>
          <w:rFonts w:ascii="Arial" w:eastAsia="Arial" w:hAnsi="Arial" w:cs="Arial"/>
          <w:sz w:val="24"/>
          <w:szCs w:val="24"/>
        </w:rPr>
        <w:t xml:space="preserve">er the Data Protection Legislation in relation to the Personal Data </w:t>
      </w:r>
      <w:r>
        <w:rPr>
          <w:rFonts w:ascii="Arial" w:eastAsia="Arial" w:hAnsi="Arial" w:cs="Arial"/>
          <w:sz w:val="24"/>
          <w:szCs w:val="24"/>
        </w:rPr>
        <w:lastRenderedPageBreak/>
        <w:t xml:space="preserve">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w:t>
      </w:r>
      <w:r>
        <w:rPr>
          <w:rFonts w:ascii="Arial" w:eastAsia="Arial" w:hAnsi="Arial" w:cs="Arial"/>
          <w:sz w:val="24"/>
          <w:szCs w:val="24"/>
        </w:rPr>
        <w:t>ipient to help it respond to the request or correspondence, at the cost of the Request Recipient; or</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w:t>
      </w:r>
      <w:r>
        <w:rPr>
          <w:rFonts w:ascii="Arial" w:eastAsia="Arial" w:hAnsi="Arial" w:cs="Arial"/>
          <w:sz w:val="24"/>
          <w:szCs w:val="24"/>
        </w:rPr>
        <w:t>ent  will</w:t>
      </w:r>
      <w:proofErr w:type="gramEnd"/>
      <w:r>
        <w:rPr>
          <w:rFonts w:ascii="Arial" w:eastAsia="Arial" w:hAnsi="Arial" w:cs="Arial"/>
          <w:sz w:val="24"/>
          <w:szCs w:val="24"/>
        </w:rPr>
        <w:t>:</w:t>
      </w:r>
    </w:p>
    <w:p w:rsidR="00B135A5" w:rsidRDefault="002F6AD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B135A5" w:rsidRDefault="002F6AD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Data Loss Event relating to Personal Data provided by the other Party pursuant to the Contract and shall: </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Data Loss Event; </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implement</w:t>
      </w:r>
      <w:r>
        <w:rPr>
          <w:rFonts w:ascii="Arial" w:eastAsia="Arial" w:hAnsi="Arial" w:cs="Arial"/>
          <w:sz w:val="24"/>
          <w:szCs w:val="24"/>
        </w:rPr>
        <w:t xml:space="preserve"> any measures necessary to restore the security of any compromised Personal Data; </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w:t>
      </w:r>
      <w:r>
        <w:rPr>
          <w:rFonts w:ascii="Arial" w:eastAsia="Arial" w:hAnsi="Arial" w:cs="Arial"/>
          <w:sz w:val="24"/>
          <w:szCs w:val="24"/>
        </w:rPr>
        <w:t>lation (including the timeframes set out therein); and</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Personal Data provided by one Party to the oth</w:t>
      </w:r>
      <w:r>
        <w:rPr>
          <w:rFonts w:ascii="Arial" w:eastAsia="Arial" w:hAnsi="Arial" w:cs="Arial"/>
          <w:sz w:val="24"/>
          <w:szCs w:val="24"/>
        </w:rPr>
        <w:t xml:space="preserve">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B135A5" w:rsidRDefault="002F6ADE">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w:t>
      </w:r>
      <w:r>
        <w:rPr>
          <w:rFonts w:ascii="Arial" w:eastAsia="Arial" w:hAnsi="Arial" w:cs="Arial"/>
          <w:sz w:val="24"/>
          <w:szCs w:val="24"/>
        </w:rPr>
        <w:t xml:space="preserve"> 2 to 16 of this Joint Schedule 11 to Personal Data, where the Supplier is required to exercise its regulatory and/or legal obligations in respect of Personal Data, it shall act as an </w:t>
      </w:r>
      <w:r>
        <w:rPr>
          <w:rFonts w:ascii="Arial" w:eastAsia="Arial" w:hAnsi="Arial" w:cs="Arial"/>
          <w:sz w:val="24"/>
          <w:szCs w:val="24"/>
        </w:rPr>
        <w:lastRenderedPageBreak/>
        <w:t>Independent Controller of Personal Data in accordance with paragraphs 18</w:t>
      </w:r>
      <w:r>
        <w:rPr>
          <w:rFonts w:ascii="Arial" w:eastAsia="Arial" w:hAnsi="Arial" w:cs="Arial"/>
          <w:sz w:val="24"/>
          <w:szCs w:val="24"/>
        </w:rPr>
        <w:t xml:space="preserve"> to 28 of this Joint Schedule 11.</w:t>
      </w:r>
    </w:p>
    <w:p w:rsidR="00B135A5" w:rsidRDefault="00B135A5">
      <w:pPr>
        <w:pBdr>
          <w:top w:val="nil"/>
          <w:left w:val="nil"/>
          <w:bottom w:val="nil"/>
          <w:right w:val="nil"/>
          <w:between w:val="nil"/>
        </w:pBdr>
        <w:spacing w:before="280" w:after="120"/>
        <w:ind w:left="709"/>
        <w:rPr>
          <w:rFonts w:ascii="Arial" w:eastAsia="Arial" w:hAnsi="Arial" w:cs="Arial"/>
          <w:sz w:val="24"/>
          <w:szCs w:val="24"/>
        </w:rPr>
      </w:pPr>
    </w:p>
    <w:p w:rsidR="00B135A5" w:rsidRDefault="002F6AD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B135A5" w:rsidRDefault="002F6ADE">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to the content of this Annex shall be with the Relevan</w:t>
      </w:r>
      <w:r>
        <w:rPr>
          <w:rFonts w:ascii="Arial" w:eastAsia="Arial" w:hAnsi="Arial" w:cs="Arial"/>
          <w:sz w:val="24"/>
          <w:szCs w:val="24"/>
        </w:rPr>
        <w:t xml:space="preserve">t Authority at its absolute discretion.  </w:t>
      </w:r>
    </w:p>
    <w:p w:rsidR="00B135A5" w:rsidRDefault="002F6AD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6F14C3">
        <w:rPr>
          <w:rFonts w:ascii="Arial" w:hAnsi="Arial" w:cs="Arial"/>
          <w:b/>
          <w:bCs/>
          <w:color w:val="FF0000"/>
        </w:rPr>
        <w:t>REDACTED TEXT under FOIA Section 43 Commercial Interests</w:t>
      </w:r>
      <w:r w:rsidR="006F14C3">
        <w:rPr>
          <w:rFonts w:ascii="Arial" w:hAnsi="Arial" w:cs="Arial"/>
          <w:color w:val="FF0000"/>
        </w:rPr>
        <w:t>.</w:t>
      </w:r>
    </w:p>
    <w:p w:rsidR="00B135A5" w:rsidRDefault="002F6AD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6F14C3">
        <w:rPr>
          <w:rFonts w:ascii="Arial" w:eastAsia="Arial" w:hAnsi="Arial" w:cs="Arial"/>
          <w:sz w:val="24"/>
          <w:szCs w:val="24"/>
        </w:rPr>
        <w:t xml:space="preserve"> </w:t>
      </w:r>
      <w:r w:rsidR="006F14C3">
        <w:rPr>
          <w:rFonts w:ascii="Arial" w:hAnsi="Arial" w:cs="Arial"/>
          <w:b/>
          <w:bCs/>
          <w:color w:val="FF0000"/>
        </w:rPr>
        <w:t>REDACTED TEXT under FOIA Section 43 Commercial Interests</w:t>
      </w:r>
      <w:r w:rsidR="006F14C3">
        <w:rPr>
          <w:rFonts w:ascii="Arial" w:hAnsi="Arial" w:cs="Arial"/>
          <w:color w:val="FF0000"/>
        </w:rPr>
        <w:t>.</w:t>
      </w:r>
      <w:r w:rsidR="006F14C3">
        <w:rPr>
          <w:rFonts w:ascii="Arial" w:hAnsi="Arial" w:cs="Arial"/>
          <w:color w:val="0B0C0C"/>
        </w:rPr>
        <w:t xml:space="preserve"> </w:t>
      </w:r>
      <w:bookmarkStart w:id="16" w:name="_GoBack"/>
      <w:bookmarkEnd w:id="16"/>
      <w:r>
        <w:rPr>
          <w:rFonts w:ascii="Arial" w:eastAsia="Arial" w:hAnsi="Arial" w:cs="Arial"/>
          <w:b/>
          <w:sz w:val="24"/>
          <w:szCs w:val="24"/>
        </w:rPr>
        <w:t xml:space="preserve"> </w:t>
      </w:r>
    </w:p>
    <w:p w:rsidR="00B135A5" w:rsidRDefault="002F6AD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w:t>
      </w:r>
      <w:r>
        <w:rPr>
          <w:rFonts w:ascii="Arial" w:eastAsia="Arial" w:hAnsi="Arial" w:cs="Arial"/>
          <w:sz w:val="24"/>
          <w:szCs w:val="24"/>
        </w:rPr>
        <w:t>r shall comply with any further written instructions with respect to Processing by the Controller.</w:t>
      </w:r>
    </w:p>
    <w:p w:rsidR="00B135A5" w:rsidRDefault="002F6AD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B135A5" w:rsidRDefault="00B135A5">
      <w:pPr>
        <w:keepNext/>
        <w:ind w:left="720"/>
        <w:rPr>
          <w:rFonts w:ascii="Arial" w:eastAsia="Arial" w:hAnsi="Arial" w:cs="Arial"/>
          <w:sz w:val="24"/>
          <w:szCs w:val="24"/>
        </w:rPr>
      </w:pPr>
    </w:p>
    <w:tbl>
      <w:tblPr>
        <w:tblStyle w:val="a8"/>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B135A5">
        <w:trPr>
          <w:trHeight w:val="700"/>
        </w:trPr>
        <w:tc>
          <w:tcPr>
            <w:tcW w:w="2263" w:type="dxa"/>
            <w:shd w:val="clear" w:color="auto" w:fill="BFBFBF"/>
            <w:vAlign w:val="center"/>
          </w:tcPr>
          <w:p w:rsidR="00B135A5" w:rsidRDefault="002F6AD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B135A5" w:rsidRDefault="002F6ADE">
            <w:pPr>
              <w:jc w:val="center"/>
              <w:rPr>
                <w:rFonts w:ascii="Arial" w:eastAsia="Arial" w:hAnsi="Arial" w:cs="Arial"/>
                <w:b/>
                <w:sz w:val="24"/>
                <w:szCs w:val="24"/>
              </w:rPr>
            </w:pPr>
            <w:r>
              <w:rPr>
                <w:rFonts w:ascii="Arial" w:eastAsia="Arial" w:hAnsi="Arial" w:cs="Arial"/>
                <w:b/>
                <w:sz w:val="24"/>
                <w:szCs w:val="24"/>
              </w:rPr>
              <w:t>Details</w:t>
            </w:r>
          </w:p>
        </w:tc>
      </w:tr>
      <w:tr w:rsidR="00B135A5">
        <w:trPr>
          <w:trHeight w:val="162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B135A5" w:rsidRDefault="002F6ADE">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B135A5" w:rsidRDefault="002F6ADE">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w:t>
            </w:r>
            <w:r>
              <w:rPr>
                <w:rFonts w:ascii="Arial" w:eastAsia="Arial" w:hAnsi="Arial" w:cs="Arial"/>
                <w:sz w:val="24"/>
                <w:szCs w:val="24"/>
              </w:rPr>
              <w:t>r is the Processor of the following Personal Data: nil</w:t>
            </w:r>
          </w:p>
          <w:p w:rsidR="00B135A5" w:rsidRDefault="00B135A5">
            <w:pPr>
              <w:rPr>
                <w:rFonts w:ascii="Arial" w:eastAsia="Arial" w:hAnsi="Arial" w:cs="Arial"/>
                <w:sz w:val="24"/>
                <w:szCs w:val="24"/>
              </w:rPr>
            </w:pPr>
          </w:p>
          <w:p w:rsidR="00B135A5" w:rsidRDefault="00B135A5">
            <w:pPr>
              <w:rPr>
                <w:rFonts w:ascii="Arial" w:eastAsia="Arial" w:hAnsi="Arial" w:cs="Arial"/>
                <w:sz w:val="24"/>
                <w:szCs w:val="24"/>
              </w:rPr>
            </w:pPr>
          </w:p>
          <w:p w:rsidR="00B135A5" w:rsidRDefault="002F6ADE">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B135A5" w:rsidRDefault="00B135A5">
            <w:pPr>
              <w:rPr>
                <w:rFonts w:ascii="Arial" w:eastAsia="Arial" w:hAnsi="Arial" w:cs="Arial"/>
                <w:i/>
                <w:sz w:val="24"/>
                <w:szCs w:val="24"/>
              </w:rPr>
            </w:pPr>
          </w:p>
          <w:p w:rsidR="00B135A5" w:rsidRDefault="002F6ADE">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 nil</w:t>
            </w:r>
          </w:p>
          <w:p w:rsidR="00B135A5" w:rsidRDefault="00B135A5">
            <w:pPr>
              <w:rPr>
                <w:rFonts w:ascii="Arial" w:eastAsia="Arial" w:hAnsi="Arial" w:cs="Arial"/>
                <w:sz w:val="24"/>
                <w:szCs w:val="24"/>
              </w:rPr>
            </w:pPr>
          </w:p>
          <w:p w:rsidR="00B135A5" w:rsidRDefault="00B135A5">
            <w:pPr>
              <w:rPr>
                <w:rFonts w:ascii="Arial" w:eastAsia="Arial" w:hAnsi="Arial" w:cs="Arial"/>
                <w:sz w:val="24"/>
                <w:szCs w:val="24"/>
                <w:highlight w:val="yellow"/>
              </w:rPr>
            </w:pPr>
          </w:p>
          <w:p w:rsidR="00B135A5" w:rsidRDefault="002F6ADE">
            <w:pPr>
              <w:rPr>
                <w:rFonts w:ascii="Arial" w:eastAsia="Arial" w:hAnsi="Arial" w:cs="Arial"/>
                <w:b/>
                <w:sz w:val="24"/>
                <w:szCs w:val="24"/>
              </w:rPr>
            </w:pPr>
            <w:r>
              <w:rPr>
                <w:rFonts w:ascii="Arial" w:eastAsia="Arial" w:hAnsi="Arial" w:cs="Arial"/>
                <w:b/>
                <w:sz w:val="24"/>
                <w:szCs w:val="24"/>
              </w:rPr>
              <w:t>The Parties ar</w:t>
            </w:r>
            <w:r>
              <w:rPr>
                <w:rFonts w:ascii="Arial" w:eastAsia="Arial" w:hAnsi="Arial" w:cs="Arial"/>
                <w:b/>
                <w:sz w:val="24"/>
                <w:szCs w:val="24"/>
              </w:rPr>
              <w:t>e Joint Controllers</w:t>
            </w:r>
          </w:p>
          <w:p w:rsidR="00B135A5" w:rsidRDefault="00B135A5">
            <w:pPr>
              <w:rPr>
                <w:rFonts w:ascii="Arial" w:eastAsia="Arial" w:hAnsi="Arial" w:cs="Arial"/>
                <w:i/>
                <w:sz w:val="24"/>
                <w:szCs w:val="24"/>
              </w:rPr>
            </w:pPr>
          </w:p>
          <w:p w:rsidR="00B135A5" w:rsidRDefault="002F6ADE">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and in accordance with paragraph 17 in respect of: nil</w:t>
            </w:r>
          </w:p>
          <w:p w:rsidR="00B135A5" w:rsidRDefault="00B135A5">
            <w:pPr>
              <w:rPr>
                <w:rFonts w:ascii="Arial" w:eastAsia="Arial" w:hAnsi="Arial" w:cs="Arial"/>
                <w:b/>
                <w:i/>
                <w:sz w:val="24"/>
                <w:szCs w:val="24"/>
                <w:highlight w:val="yellow"/>
              </w:rPr>
            </w:pPr>
          </w:p>
          <w:p w:rsidR="00B135A5" w:rsidRDefault="00B135A5">
            <w:pPr>
              <w:rPr>
                <w:rFonts w:ascii="Arial" w:eastAsia="Arial" w:hAnsi="Arial" w:cs="Arial"/>
                <w:i/>
                <w:sz w:val="24"/>
                <w:szCs w:val="24"/>
              </w:rPr>
            </w:pPr>
          </w:p>
          <w:p w:rsidR="00B135A5" w:rsidRDefault="002F6ADE">
            <w:pPr>
              <w:rPr>
                <w:rFonts w:ascii="Arial" w:eastAsia="Arial" w:hAnsi="Arial" w:cs="Arial"/>
                <w:i/>
                <w:sz w:val="24"/>
                <w:szCs w:val="24"/>
              </w:rPr>
            </w:pPr>
            <w:r>
              <w:rPr>
                <w:rFonts w:ascii="Arial" w:eastAsia="Arial" w:hAnsi="Arial" w:cs="Arial"/>
                <w:i/>
                <w:sz w:val="24"/>
                <w:szCs w:val="24"/>
              </w:rPr>
              <w:t xml:space="preserve"> </w:t>
            </w:r>
          </w:p>
          <w:p w:rsidR="00B135A5" w:rsidRDefault="002F6ADE">
            <w:pPr>
              <w:rPr>
                <w:rFonts w:ascii="Arial" w:eastAsia="Arial" w:hAnsi="Arial" w:cs="Arial"/>
                <w:b/>
                <w:sz w:val="24"/>
                <w:szCs w:val="24"/>
              </w:rPr>
            </w:pPr>
            <w:r>
              <w:rPr>
                <w:rFonts w:ascii="Arial" w:eastAsia="Arial" w:hAnsi="Arial" w:cs="Arial"/>
                <w:b/>
                <w:sz w:val="24"/>
                <w:szCs w:val="24"/>
              </w:rPr>
              <w:t>The Parties are Independent Controllers of Personal Data</w:t>
            </w:r>
          </w:p>
          <w:p w:rsidR="00B135A5" w:rsidRDefault="00B135A5">
            <w:pPr>
              <w:rPr>
                <w:rFonts w:ascii="Arial" w:eastAsia="Arial" w:hAnsi="Arial" w:cs="Arial"/>
                <w:b/>
                <w:i/>
                <w:sz w:val="24"/>
                <w:szCs w:val="24"/>
                <w:highlight w:val="yellow"/>
              </w:rPr>
            </w:pPr>
          </w:p>
          <w:p w:rsidR="00B135A5" w:rsidRDefault="002F6ADE">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and in accordance with paragraph 18 in respect of:</w:t>
            </w:r>
          </w:p>
          <w:p w:rsidR="00B135A5" w:rsidRDefault="002F6ADE">
            <w:pPr>
              <w:numPr>
                <w:ilvl w:val="0"/>
                <w:numId w:val="8"/>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lastRenderedPageBreak/>
              <w:t>Business contact details of Supplier Personnel for which the Supplier is the Controller,</w:t>
            </w:r>
          </w:p>
          <w:p w:rsidR="00B135A5" w:rsidRDefault="002F6ADE">
            <w:pPr>
              <w:numPr>
                <w:ilvl w:val="0"/>
                <w:numId w:val="8"/>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w:t>
            </w:r>
            <w:r>
              <w:rPr>
                <w:rFonts w:ascii="Arial" w:eastAsia="Arial" w:hAnsi="Arial" w:cs="Arial"/>
                <w:i/>
                <w:sz w:val="24"/>
                <w:szCs w:val="24"/>
              </w:rPr>
              <w:t>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w:t>
            </w:r>
            <w:r>
              <w:rPr>
                <w:rFonts w:ascii="Arial" w:eastAsia="Arial" w:hAnsi="Arial" w:cs="Arial"/>
                <w:i/>
                <w:sz w:val="24"/>
                <w:szCs w:val="24"/>
              </w:rPr>
              <w:t>ant Authority is the Controller,</w:t>
            </w:r>
          </w:p>
          <w:p w:rsidR="00B135A5" w:rsidRDefault="00B135A5">
            <w:pPr>
              <w:rPr>
                <w:rFonts w:ascii="Arial" w:eastAsia="Arial" w:hAnsi="Arial" w:cs="Arial"/>
                <w:i/>
                <w:sz w:val="24"/>
                <w:szCs w:val="24"/>
              </w:rPr>
            </w:pPr>
          </w:p>
          <w:p w:rsidR="00B135A5" w:rsidRDefault="00B135A5">
            <w:pPr>
              <w:rPr>
                <w:rFonts w:ascii="Arial" w:eastAsia="Arial" w:hAnsi="Arial" w:cs="Arial"/>
                <w:sz w:val="24"/>
                <w:szCs w:val="24"/>
              </w:rPr>
            </w:pPr>
          </w:p>
        </w:tc>
      </w:tr>
      <w:tr w:rsidR="00B135A5">
        <w:trPr>
          <w:trHeight w:val="162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lastRenderedPageBreak/>
              <w:t>Subject matter of the Processing</w:t>
            </w:r>
          </w:p>
        </w:tc>
        <w:tc>
          <w:tcPr>
            <w:tcW w:w="7423" w:type="dxa"/>
            <w:shd w:val="clear" w:color="auto" w:fill="auto"/>
          </w:tcPr>
          <w:p w:rsidR="00B135A5" w:rsidRDefault="00B135A5">
            <w:pPr>
              <w:rPr>
                <w:rFonts w:ascii="Arial" w:eastAsia="Arial" w:hAnsi="Arial" w:cs="Arial"/>
                <w:i/>
                <w:sz w:val="24"/>
                <w:szCs w:val="24"/>
              </w:rPr>
            </w:pPr>
          </w:p>
          <w:p w:rsidR="00B135A5" w:rsidRDefault="00B135A5">
            <w:pPr>
              <w:rPr>
                <w:rFonts w:ascii="Arial" w:eastAsia="Arial" w:hAnsi="Arial" w:cs="Arial"/>
                <w:i/>
                <w:sz w:val="24"/>
                <w:szCs w:val="24"/>
              </w:rPr>
            </w:pPr>
          </w:p>
          <w:p w:rsidR="00B135A5" w:rsidRDefault="002F6ADE">
            <w:pPr>
              <w:rPr>
                <w:rFonts w:ascii="Arial" w:eastAsia="Arial" w:hAnsi="Arial" w:cs="Arial"/>
                <w:i/>
                <w:sz w:val="24"/>
                <w:szCs w:val="24"/>
              </w:rPr>
            </w:pPr>
            <w:r>
              <w:rPr>
                <w:rFonts w:ascii="Arial" w:eastAsia="Arial" w:hAnsi="Arial" w:cs="Arial"/>
                <w:i/>
                <w:sz w:val="24"/>
                <w:szCs w:val="24"/>
              </w:rPr>
              <w:t>The processing is needed in order to ensure that the</w:t>
            </w:r>
          </w:p>
          <w:p w:rsidR="00B135A5" w:rsidRDefault="002F6ADE">
            <w:pPr>
              <w:rPr>
                <w:rFonts w:ascii="Arial" w:eastAsia="Arial" w:hAnsi="Arial" w:cs="Arial"/>
                <w:i/>
                <w:sz w:val="24"/>
                <w:szCs w:val="24"/>
              </w:rPr>
            </w:pPr>
            <w:r>
              <w:rPr>
                <w:rFonts w:ascii="Arial" w:eastAsia="Arial" w:hAnsi="Arial" w:cs="Arial"/>
                <w:i/>
                <w:sz w:val="24"/>
                <w:szCs w:val="24"/>
              </w:rPr>
              <w:t>Processor can effectively deliver the contract to provide hardware, system warranties and software licences.</w:t>
            </w:r>
          </w:p>
          <w:p w:rsidR="00B135A5" w:rsidRDefault="00B135A5">
            <w:pPr>
              <w:rPr>
                <w:rFonts w:ascii="Arial" w:eastAsia="Arial" w:hAnsi="Arial" w:cs="Arial"/>
                <w:i/>
                <w:sz w:val="24"/>
                <w:szCs w:val="24"/>
              </w:rPr>
            </w:pPr>
          </w:p>
          <w:p w:rsidR="00B135A5" w:rsidRDefault="00B135A5">
            <w:pPr>
              <w:rPr>
                <w:rFonts w:ascii="Arial" w:eastAsia="Arial" w:hAnsi="Arial" w:cs="Arial"/>
                <w:i/>
                <w:sz w:val="24"/>
                <w:szCs w:val="24"/>
              </w:rPr>
            </w:pPr>
          </w:p>
          <w:p w:rsidR="00B135A5" w:rsidRDefault="00B135A5">
            <w:pPr>
              <w:rPr>
                <w:rFonts w:ascii="Arial" w:eastAsia="Arial" w:hAnsi="Arial" w:cs="Arial"/>
                <w:sz w:val="24"/>
                <w:szCs w:val="24"/>
              </w:rPr>
            </w:pPr>
          </w:p>
        </w:tc>
      </w:tr>
      <w:tr w:rsidR="00B135A5">
        <w:trPr>
          <w:trHeight w:val="146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B135A5" w:rsidRDefault="002F6ADE">
            <w:pPr>
              <w:rPr>
                <w:rFonts w:ascii="Arial" w:eastAsia="Arial" w:hAnsi="Arial" w:cs="Arial"/>
                <w:i/>
                <w:sz w:val="24"/>
                <w:szCs w:val="24"/>
              </w:rPr>
            </w:pPr>
            <w:r>
              <w:rPr>
                <w:rFonts w:ascii="Arial" w:eastAsia="Arial" w:hAnsi="Arial" w:cs="Arial"/>
                <w:i/>
                <w:sz w:val="24"/>
                <w:szCs w:val="24"/>
              </w:rPr>
              <w:t>Processing of data is from the date of contract tender until the delivery of all items is complete, by NLT end May 2025.</w:t>
            </w:r>
          </w:p>
          <w:p w:rsidR="00B135A5" w:rsidRDefault="00B135A5">
            <w:pPr>
              <w:rPr>
                <w:rFonts w:ascii="Arial" w:eastAsia="Arial" w:hAnsi="Arial" w:cs="Arial"/>
                <w:sz w:val="24"/>
                <w:szCs w:val="24"/>
              </w:rPr>
            </w:pPr>
          </w:p>
          <w:p w:rsidR="00B135A5" w:rsidRDefault="002F6ADE">
            <w:pPr>
              <w:rPr>
                <w:rFonts w:ascii="Arial" w:eastAsia="Arial" w:hAnsi="Arial" w:cs="Arial"/>
                <w:sz w:val="24"/>
                <w:szCs w:val="24"/>
              </w:rPr>
            </w:pPr>
            <w:r>
              <w:rPr>
                <w:rFonts w:ascii="Arial" w:eastAsia="Arial" w:hAnsi="Arial" w:cs="Arial"/>
                <w:sz w:val="24"/>
                <w:szCs w:val="24"/>
              </w:rPr>
              <w:t>Retention of data for potential processing during duration of warranty periods for specific items up to 5 y</w:t>
            </w:r>
            <w:r>
              <w:rPr>
                <w:rFonts w:ascii="Arial" w:eastAsia="Arial" w:hAnsi="Arial" w:cs="Arial"/>
                <w:sz w:val="24"/>
                <w:szCs w:val="24"/>
              </w:rPr>
              <w:t>ears, until NLT 31 March 2030.</w:t>
            </w:r>
          </w:p>
        </w:tc>
      </w:tr>
      <w:tr w:rsidR="00B135A5">
        <w:trPr>
          <w:trHeight w:val="152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B135A5" w:rsidRDefault="002F6ADE">
            <w:pPr>
              <w:rPr>
                <w:rFonts w:ascii="Arial" w:eastAsia="Arial" w:hAnsi="Arial" w:cs="Arial"/>
                <w:i/>
                <w:sz w:val="24"/>
                <w:szCs w:val="24"/>
              </w:rPr>
            </w:pPr>
            <w:r>
              <w:rPr>
                <w:rFonts w:ascii="Arial" w:eastAsia="Arial" w:hAnsi="Arial" w:cs="Arial"/>
                <w:i/>
                <w:sz w:val="24"/>
                <w:szCs w:val="24"/>
              </w:rPr>
              <w:t xml:space="preserve"> </w:t>
            </w:r>
          </w:p>
          <w:p w:rsidR="00B135A5" w:rsidRDefault="00B135A5">
            <w:pPr>
              <w:rPr>
                <w:rFonts w:ascii="Arial" w:eastAsia="Arial" w:hAnsi="Arial" w:cs="Arial"/>
                <w:i/>
                <w:sz w:val="24"/>
                <w:szCs w:val="24"/>
              </w:rPr>
            </w:pPr>
          </w:p>
          <w:p w:rsidR="00B135A5" w:rsidRDefault="002F6ADE">
            <w:pPr>
              <w:rPr>
                <w:rFonts w:ascii="Arial" w:eastAsia="Arial" w:hAnsi="Arial" w:cs="Arial"/>
                <w:i/>
                <w:sz w:val="24"/>
                <w:szCs w:val="24"/>
              </w:rPr>
            </w:pPr>
            <w:r>
              <w:rPr>
                <w:rFonts w:ascii="Arial" w:eastAsia="Arial" w:hAnsi="Arial" w:cs="Arial"/>
                <w:i/>
                <w:sz w:val="24"/>
                <w:szCs w:val="24"/>
              </w:rPr>
              <w:t>Software licences to be issued to specific email address recipients within MOD.</w:t>
            </w:r>
          </w:p>
          <w:p w:rsidR="00B135A5" w:rsidRDefault="00B135A5">
            <w:pPr>
              <w:rPr>
                <w:rFonts w:ascii="Arial" w:eastAsia="Arial" w:hAnsi="Arial" w:cs="Arial"/>
                <w:i/>
                <w:sz w:val="24"/>
                <w:szCs w:val="24"/>
              </w:rPr>
            </w:pPr>
          </w:p>
          <w:p w:rsidR="00B135A5" w:rsidRDefault="002F6ADE">
            <w:pPr>
              <w:rPr>
                <w:rFonts w:ascii="Arial" w:eastAsia="Arial" w:hAnsi="Arial" w:cs="Arial"/>
                <w:i/>
                <w:sz w:val="24"/>
                <w:szCs w:val="24"/>
              </w:rPr>
            </w:pPr>
            <w:r>
              <w:rPr>
                <w:rFonts w:ascii="Arial" w:eastAsia="Arial" w:hAnsi="Arial" w:cs="Arial"/>
                <w:i/>
                <w:sz w:val="24"/>
                <w:szCs w:val="24"/>
              </w:rPr>
              <w:t>Business contact details to be used to arrange delivery of hardware items to MOD establishments.</w:t>
            </w:r>
          </w:p>
          <w:p w:rsidR="00B135A5" w:rsidRDefault="00B135A5">
            <w:pPr>
              <w:rPr>
                <w:rFonts w:ascii="Arial" w:eastAsia="Arial" w:hAnsi="Arial" w:cs="Arial"/>
                <w:i/>
                <w:sz w:val="24"/>
                <w:szCs w:val="24"/>
              </w:rPr>
            </w:pPr>
          </w:p>
          <w:p w:rsidR="00B135A5" w:rsidRDefault="002F6ADE">
            <w:pPr>
              <w:rPr>
                <w:rFonts w:ascii="Arial" w:eastAsia="Arial" w:hAnsi="Arial" w:cs="Arial"/>
                <w:i/>
                <w:sz w:val="24"/>
                <w:szCs w:val="24"/>
              </w:rPr>
            </w:pPr>
            <w:r>
              <w:rPr>
                <w:rFonts w:ascii="Arial" w:eastAsia="Arial" w:hAnsi="Arial" w:cs="Arial"/>
                <w:i/>
                <w:sz w:val="24"/>
                <w:szCs w:val="24"/>
              </w:rPr>
              <w:t>Business contact details to be used in event of a hardware warranty issue being raised with the supplier.</w:t>
            </w:r>
          </w:p>
          <w:p w:rsidR="00B135A5" w:rsidRDefault="00B135A5">
            <w:pPr>
              <w:rPr>
                <w:rFonts w:ascii="Arial" w:eastAsia="Arial" w:hAnsi="Arial" w:cs="Arial"/>
                <w:i/>
                <w:sz w:val="24"/>
                <w:szCs w:val="24"/>
              </w:rPr>
            </w:pPr>
          </w:p>
          <w:p w:rsidR="00B135A5" w:rsidRDefault="00B135A5">
            <w:pPr>
              <w:rPr>
                <w:rFonts w:ascii="Arial" w:eastAsia="Arial" w:hAnsi="Arial" w:cs="Arial"/>
                <w:sz w:val="24"/>
                <w:szCs w:val="24"/>
              </w:rPr>
            </w:pPr>
          </w:p>
        </w:tc>
      </w:tr>
      <w:tr w:rsidR="00B135A5">
        <w:trPr>
          <w:trHeight w:val="140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rsidR="00B135A5" w:rsidRDefault="00B135A5">
            <w:pPr>
              <w:rPr>
                <w:rFonts w:ascii="Arial" w:eastAsia="Arial" w:hAnsi="Arial" w:cs="Arial"/>
                <w:i/>
                <w:sz w:val="24"/>
                <w:szCs w:val="24"/>
              </w:rPr>
            </w:pPr>
          </w:p>
          <w:p w:rsidR="00B135A5" w:rsidRDefault="002F6ADE">
            <w:pPr>
              <w:rPr>
                <w:rFonts w:ascii="Arial" w:eastAsia="Arial" w:hAnsi="Arial" w:cs="Arial"/>
                <w:sz w:val="24"/>
                <w:szCs w:val="24"/>
              </w:rPr>
            </w:pPr>
            <w:r>
              <w:rPr>
                <w:rFonts w:ascii="Arial" w:eastAsia="Arial" w:hAnsi="Arial" w:cs="Arial"/>
                <w:sz w:val="24"/>
                <w:szCs w:val="24"/>
              </w:rPr>
              <w:t>Name, address, telephone number, email address</w:t>
            </w:r>
          </w:p>
        </w:tc>
      </w:tr>
      <w:tr w:rsidR="00B135A5">
        <w:trPr>
          <w:trHeight w:val="156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B135A5" w:rsidRDefault="00B135A5">
            <w:pPr>
              <w:rPr>
                <w:rFonts w:ascii="Arial" w:eastAsia="Arial" w:hAnsi="Arial" w:cs="Arial"/>
                <w:sz w:val="24"/>
                <w:szCs w:val="24"/>
              </w:rPr>
            </w:pPr>
          </w:p>
          <w:p w:rsidR="00B135A5" w:rsidRDefault="002F6ADE">
            <w:pPr>
              <w:rPr>
                <w:rFonts w:ascii="Arial" w:eastAsia="Arial" w:hAnsi="Arial" w:cs="Arial"/>
                <w:sz w:val="24"/>
                <w:szCs w:val="24"/>
              </w:rPr>
            </w:pPr>
            <w:r>
              <w:rPr>
                <w:rFonts w:ascii="Arial" w:eastAsia="Arial" w:hAnsi="Arial" w:cs="Arial"/>
                <w:sz w:val="24"/>
                <w:szCs w:val="24"/>
              </w:rPr>
              <w:t>MOD staff within IT departments</w:t>
            </w:r>
          </w:p>
        </w:tc>
      </w:tr>
      <w:tr w:rsidR="00B135A5">
        <w:trPr>
          <w:trHeight w:val="156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lastRenderedPageBreak/>
              <w:t>International transfers and legal gateway</w:t>
            </w:r>
          </w:p>
        </w:tc>
        <w:tc>
          <w:tcPr>
            <w:tcW w:w="7423" w:type="dxa"/>
            <w:shd w:val="clear" w:color="auto" w:fill="auto"/>
          </w:tcPr>
          <w:p w:rsidR="00B135A5" w:rsidRDefault="002F6ADE">
            <w:pPr>
              <w:rPr>
                <w:rFonts w:ascii="Arial" w:eastAsia="Arial" w:hAnsi="Arial" w:cs="Arial"/>
                <w:i/>
                <w:sz w:val="24"/>
                <w:szCs w:val="24"/>
              </w:rPr>
            </w:pPr>
            <w:r>
              <w:rPr>
                <w:rFonts w:ascii="Arial" w:eastAsia="Arial" w:hAnsi="Arial" w:cs="Arial"/>
                <w:i/>
                <w:sz w:val="24"/>
                <w:szCs w:val="24"/>
              </w:rPr>
              <w:t>n/a</w:t>
            </w:r>
          </w:p>
          <w:p w:rsidR="00B135A5" w:rsidRDefault="00B135A5">
            <w:pPr>
              <w:rPr>
                <w:rFonts w:ascii="Arial" w:eastAsia="Arial" w:hAnsi="Arial" w:cs="Arial"/>
                <w:i/>
                <w:sz w:val="24"/>
                <w:szCs w:val="24"/>
              </w:rPr>
            </w:pPr>
          </w:p>
        </w:tc>
      </w:tr>
      <w:tr w:rsidR="00B135A5">
        <w:trPr>
          <w:trHeight w:val="1660"/>
        </w:trPr>
        <w:tc>
          <w:tcPr>
            <w:tcW w:w="2263" w:type="dxa"/>
            <w:shd w:val="clear" w:color="auto" w:fill="auto"/>
          </w:tcPr>
          <w:p w:rsidR="00B135A5" w:rsidRDefault="002F6AD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B135A5" w:rsidRDefault="002F6AD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B135A5" w:rsidRDefault="002F6ADE">
            <w:pPr>
              <w:rPr>
                <w:rFonts w:ascii="Arial" w:eastAsia="Arial" w:hAnsi="Arial" w:cs="Arial"/>
                <w:sz w:val="24"/>
                <w:szCs w:val="24"/>
              </w:rPr>
            </w:pPr>
            <w:r>
              <w:rPr>
                <w:rFonts w:ascii="Arial" w:eastAsia="Arial" w:hAnsi="Arial" w:cs="Arial"/>
                <w:i/>
                <w:sz w:val="24"/>
                <w:szCs w:val="24"/>
              </w:rPr>
              <w:t>Data to be deleted by processor once items are no longer required, once software licences and hardware are delivered, and when hardware warranty periods have expired.</w:t>
            </w:r>
          </w:p>
        </w:tc>
      </w:tr>
    </w:tbl>
    <w:p w:rsidR="00B135A5" w:rsidRDefault="00B135A5">
      <w:pPr>
        <w:rPr>
          <w:rFonts w:ascii="Arial" w:eastAsia="Arial" w:hAnsi="Arial" w:cs="Arial"/>
          <w:b/>
          <w:sz w:val="24"/>
          <w:szCs w:val="24"/>
        </w:rPr>
      </w:pPr>
    </w:p>
    <w:p w:rsidR="00B135A5" w:rsidRDefault="002F6ADE">
      <w:pPr>
        <w:rPr>
          <w:rFonts w:ascii="Arial" w:eastAsia="Arial" w:hAnsi="Arial" w:cs="Arial"/>
          <w:b/>
          <w:sz w:val="24"/>
          <w:szCs w:val="24"/>
        </w:rPr>
      </w:pPr>
      <w:r>
        <w:br w:type="page"/>
      </w:r>
    </w:p>
    <w:p w:rsidR="00B135A5" w:rsidRDefault="002F6ADE">
      <w:pPr>
        <w:rPr>
          <w:rFonts w:ascii="Arial" w:eastAsia="Arial" w:hAnsi="Arial" w:cs="Arial"/>
          <w:b/>
          <w:sz w:val="24"/>
          <w:szCs w:val="24"/>
        </w:rPr>
      </w:pPr>
      <w:r>
        <w:rPr>
          <w:rFonts w:ascii="Arial" w:eastAsia="Arial" w:hAnsi="Arial" w:cs="Arial"/>
          <w:b/>
          <w:sz w:val="24"/>
          <w:szCs w:val="24"/>
        </w:rPr>
        <w:lastRenderedPageBreak/>
        <w:t>Annex 2 – Security</w:t>
      </w:r>
    </w:p>
    <w:p w:rsidR="00B135A5" w:rsidRDefault="002F6ADE">
      <w:pPr>
        <w:spacing w:after="0" w:line="240" w:lineRule="auto"/>
        <w:rPr>
          <w:rFonts w:ascii="Arial" w:eastAsia="Arial" w:hAnsi="Arial" w:cs="Arial"/>
          <w:color w:val="000000"/>
          <w:sz w:val="24"/>
          <w:szCs w:val="24"/>
        </w:rPr>
      </w:pPr>
      <w:r>
        <w:rPr>
          <w:rFonts w:ascii="Arial" w:eastAsia="Arial" w:hAnsi="Arial" w:cs="Arial"/>
          <w:color w:val="222222"/>
          <w:sz w:val="24"/>
          <w:szCs w:val="24"/>
        </w:rPr>
        <w:t>The technical security requirements set out below provide an indic</w:t>
      </w:r>
      <w:r>
        <w:rPr>
          <w:rFonts w:ascii="Arial" w:eastAsia="Arial" w:hAnsi="Arial" w:cs="Arial"/>
          <w:color w:val="222222"/>
          <w:sz w:val="24"/>
          <w:szCs w:val="24"/>
        </w:rPr>
        <w:t xml:space="preserve">ation of the types of security measures that might be considered, in order to protect Personal Data. </w:t>
      </w:r>
      <w:r>
        <w:rPr>
          <w:rFonts w:ascii="Arial" w:eastAsia="Arial" w:hAnsi="Arial" w:cs="Arial"/>
          <w:color w:val="000000"/>
          <w:sz w:val="24"/>
          <w:szCs w:val="24"/>
        </w:rPr>
        <w:t>More, or less,</w:t>
      </w:r>
      <w:r>
        <w:rPr>
          <w:rFonts w:ascii="Arial" w:eastAsia="Arial" w:hAnsi="Arial" w:cs="Arial"/>
          <w:color w:val="222222"/>
          <w:sz w:val="24"/>
          <w:szCs w:val="24"/>
        </w:rPr>
        <w:t xml:space="preserve"> </w:t>
      </w:r>
      <w:r>
        <w:rPr>
          <w:rFonts w:ascii="Arial" w:eastAsia="Arial" w:hAnsi="Arial" w:cs="Arial"/>
          <w:color w:val="000000"/>
          <w:sz w:val="24"/>
          <w:szCs w:val="24"/>
        </w:rPr>
        <w:t>measures may be appropriate depending on the subject matter of the contract, but the overall</w:t>
      </w:r>
      <w:r>
        <w:rPr>
          <w:rFonts w:ascii="Arial" w:eastAsia="Arial" w:hAnsi="Arial" w:cs="Arial"/>
          <w:color w:val="222222"/>
          <w:sz w:val="24"/>
          <w:szCs w:val="24"/>
        </w:rPr>
        <w:t xml:space="preserve"> </w:t>
      </w:r>
      <w:r>
        <w:rPr>
          <w:rFonts w:ascii="Arial" w:eastAsia="Arial" w:hAnsi="Arial" w:cs="Arial"/>
          <w:color w:val="000000"/>
          <w:sz w:val="24"/>
          <w:szCs w:val="24"/>
        </w:rPr>
        <w:t>approach must be proportionate. The technical requirements must also be compliant with</w:t>
      </w:r>
      <w:r>
        <w:rPr>
          <w:rFonts w:ascii="Arial" w:eastAsia="Arial" w:hAnsi="Arial" w:cs="Arial"/>
          <w:color w:val="222222"/>
          <w:sz w:val="24"/>
          <w:szCs w:val="24"/>
        </w:rPr>
        <w:t xml:space="preserve"> </w:t>
      </w:r>
      <w:r>
        <w:rPr>
          <w:rFonts w:ascii="Arial" w:eastAsia="Arial" w:hAnsi="Arial" w:cs="Arial"/>
          <w:color w:val="000000"/>
          <w:sz w:val="24"/>
          <w:szCs w:val="24"/>
        </w:rPr>
        <w:t>legislative and regulatory obligations for content and data, such as UK GDPR.</w:t>
      </w:r>
      <w:r>
        <w:rPr>
          <w:rFonts w:ascii="Arial" w:eastAsia="Arial" w:hAnsi="Arial" w:cs="Arial"/>
          <w:color w:val="222222"/>
          <w:sz w:val="24"/>
          <w:szCs w:val="24"/>
        </w:rPr>
        <w:t xml:space="preserve"> </w:t>
      </w:r>
      <w:r>
        <w:rPr>
          <w:rFonts w:ascii="Arial" w:eastAsia="Arial" w:hAnsi="Arial" w:cs="Arial"/>
          <w:color w:val="000000"/>
          <w:sz w:val="24"/>
          <w:szCs w:val="24"/>
        </w:rPr>
        <w:t>The example technical security requirements set out here are intended to supplement, not</w:t>
      </w:r>
      <w:r>
        <w:rPr>
          <w:rFonts w:ascii="Arial" w:eastAsia="Arial" w:hAnsi="Arial" w:cs="Arial"/>
          <w:color w:val="222222"/>
          <w:sz w:val="24"/>
          <w:szCs w:val="24"/>
        </w:rPr>
        <w:t xml:space="preserve"> </w:t>
      </w:r>
      <w:r>
        <w:rPr>
          <w:rFonts w:ascii="Arial" w:eastAsia="Arial" w:hAnsi="Arial" w:cs="Arial"/>
          <w:color w:val="000000"/>
          <w:sz w:val="24"/>
          <w:szCs w:val="24"/>
        </w:rPr>
        <w:t>re</w:t>
      </w:r>
      <w:r>
        <w:rPr>
          <w:rFonts w:ascii="Arial" w:eastAsia="Arial" w:hAnsi="Arial" w:cs="Arial"/>
          <w:color w:val="000000"/>
          <w:sz w:val="24"/>
          <w:szCs w:val="24"/>
        </w:rPr>
        <w:t>place, security schedules that will detail the total contractual security obligations and</w:t>
      </w:r>
      <w:r>
        <w:rPr>
          <w:rFonts w:ascii="Arial" w:eastAsia="Arial" w:hAnsi="Arial" w:cs="Arial"/>
          <w:color w:val="222222"/>
          <w:sz w:val="24"/>
          <w:szCs w:val="24"/>
        </w:rPr>
        <w:t xml:space="preserve"> </w:t>
      </w:r>
      <w:r>
        <w:rPr>
          <w:rFonts w:ascii="Arial" w:eastAsia="Arial" w:hAnsi="Arial" w:cs="Arial"/>
          <w:color w:val="000000"/>
          <w:sz w:val="24"/>
          <w:szCs w:val="24"/>
        </w:rPr>
        <w:t>requirements that the Processor (i.e. a supplier) will be held to account to deliver under</w:t>
      </w:r>
      <w:r>
        <w:rPr>
          <w:rFonts w:ascii="Arial" w:eastAsia="Arial" w:hAnsi="Arial" w:cs="Arial"/>
          <w:color w:val="222222"/>
          <w:sz w:val="24"/>
          <w:szCs w:val="24"/>
        </w:rPr>
        <w:t xml:space="preserve"> </w:t>
      </w:r>
      <w:r>
        <w:rPr>
          <w:rFonts w:ascii="Arial" w:eastAsia="Arial" w:hAnsi="Arial" w:cs="Arial"/>
          <w:color w:val="000000"/>
          <w:sz w:val="24"/>
          <w:szCs w:val="24"/>
        </w:rPr>
        <w:t xml:space="preserve">contract. Processors are also required to ensure sufficient ‘flow-down’ of </w:t>
      </w:r>
      <w:r>
        <w:rPr>
          <w:rFonts w:ascii="Arial" w:eastAsia="Arial" w:hAnsi="Arial" w:cs="Arial"/>
          <w:color w:val="000000"/>
          <w:sz w:val="24"/>
          <w:szCs w:val="24"/>
        </w:rPr>
        <w:t>legislative and</w:t>
      </w:r>
      <w:r>
        <w:rPr>
          <w:rFonts w:ascii="Arial" w:eastAsia="Arial" w:hAnsi="Arial" w:cs="Arial"/>
          <w:color w:val="222222"/>
          <w:sz w:val="24"/>
          <w:szCs w:val="24"/>
        </w:rPr>
        <w:t xml:space="preserve"> </w:t>
      </w:r>
      <w:r>
        <w:rPr>
          <w:rFonts w:ascii="Arial" w:eastAsia="Arial" w:hAnsi="Arial" w:cs="Arial"/>
          <w:color w:val="000000"/>
          <w:sz w:val="24"/>
          <w:szCs w:val="24"/>
        </w:rPr>
        <w:t xml:space="preserve">regulatory obligations to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Sub-processors.</w:t>
      </w:r>
    </w:p>
    <w:p w:rsidR="00B135A5" w:rsidRDefault="00B135A5">
      <w:pPr>
        <w:spacing w:after="0" w:line="240" w:lineRule="auto"/>
        <w:rPr>
          <w:rFonts w:ascii="Arial" w:eastAsia="Arial" w:hAnsi="Arial" w:cs="Arial"/>
          <w:color w:val="222222"/>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External Certifications e.g. </w:t>
      </w:r>
      <w:r>
        <w:rPr>
          <w:rFonts w:ascii="Arial" w:eastAsia="Arial" w:hAnsi="Arial" w:cs="Arial"/>
          <w:color w:val="000000"/>
          <w:sz w:val="24"/>
          <w:szCs w:val="24"/>
        </w:rPr>
        <w:t>Buyers should ensure that Suppliers hold at least Cyber</w:t>
      </w:r>
    </w:p>
    <w:p w:rsidR="00B135A5" w:rsidRDefault="002F6AD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Essentials certification and ISO 27001:2013 certification if proportionate to the service being </w:t>
      </w:r>
      <w:r>
        <w:rPr>
          <w:rFonts w:ascii="Arial" w:eastAsia="Arial" w:hAnsi="Arial" w:cs="Arial"/>
          <w:color w:val="000000"/>
          <w:sz w:val="24"/>
          <w:szCs w:val="24"/>
        </w:rPr>
        <w:t>procured.</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Risk Assessment e.g. </w:t>
      </w:r>
      <w:r>
        <w:rPr>
          <w:rFonts w:ascii="Arial" w:eastAsia="Arial" w:hAnsi="Arial" w:cs="Arial"/>
          <w:color w:val="000000"/>
          <w:sz w:val="24"/>
          <w:szCs w:val="24"/>
        </w:rPr>
        <w:t>Supplier should perform a technical information risk assessment on the service supplied and be able to demonstrate what controls are in place to address those risks.</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Security Classification of Information e.g. </w:t>
      </w:r>
      <w:r>
        <w:rPr>
          <w:rFonts w:ascii="Arial" w:eastAsia="Arial" w:hAnsi="Arial" w:cs="Arial"/>
          <w:color w:val="000000"/>
          <w:sz w:val="24"/>
          <w:szCs w:val="24"/>
        </w:rPr>
        <w:t>If the provis</w:t>
      </w:r>
      <w:r>
        <w:rPr>
          <w:rFonts w:ascii="Arial" w:eastAsia="Arial" w:hAnsi="Arial" w:cs="Arial"/>
          <w:color w:val="000000"/>
          <w:sz w:val="24"/>
          <w:szCs w:val="24"/>
        </w:rPr>
        <w:t xml:space="preserve">ion of the Services requires the Supplier to Process Authority/Buyer Data which is classified as </w:t>
      </w:r>
      <w:proofErr w:type="gramStart"/>
      <w:r>
        <w:rPr>
          <w:rFonts w:ascii="Arial" w:eastAsia="Arial" w:hAnsi="Arial" w:cs="Arial"/>
          <w:color w:val="000000"/>
          <w:sz w:val="24"/>
          <w:szCs w:val="24"/>
        </w:rPr>
        <w:t>OFFICIAL,OFFICIAL</w:t>
      </w:r>
      <w:proofErr w:type="gramEnd"/>
      <w:r>
        <w:rPr>
          <w:rFonts w:ascii="Arial" w:eastAsia="Arial" w:hAnsi="Arial" w:cs="Arial"/>
          <w:color w:val="000000"/>
          <w:sz w:val="24"/>
          <w:szCs w:val="24"/>
        </w:rPr>
        <w:t>-SENSITIVE or Personal Data, the Supplier shall implement such additional measures as agreed with the Authority/Buyer from time to time in ord</w:t>
      </w:r>
      <w:r>
        <w:rPr>
          <w:rFonts w:ascii="Arial" w:eastAsia="Arial" w:hAnsi="Arial" w:cs="Arial"/>
          <w:color w:val="000000"/>
          <w:sz w:val="24"/>
          <w:szCs w:val="24"/>
        </w:rPr>
        <w:t>er to ensure that such information is safeguarded in accordance with the applicable legislative and regulatory obligations.</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b/>
          <w:color w:val="000000"/>
          <w:sz w:val="24"/>
          <w:szCs w:val="24"/>
        </w:rPr>
      </w:pPr>
      <w:r>
        <w:rPr>
          <w:rFonts w:ascii="Arial" w:eastAsia="Arial" w:hAnsi="Arial" w:cs="Arial"/>
          <w:b/>
          <w:color w:val="000000"/>
          <w:sz w:val="24"/>
          <w:szCs w:val="24"/>
        </w:rPr>
        <w:t>End User Devices e.g.</w:t>
      </w:r>
    </w:p>
    <w:p w:rsidR="00B135A5" w:rsidRDefault="002F6ADE">
      <w:pPr>
        <w:numPr>
          <w:ilvl w:val="0"/>
          <w:numId w:val="9"/>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any Authority/Buyer Data which resides on a mobile, removable or physically uncontrolled device is stored encrypted using a product or system component which has been formally assured through a recognised certification proces</w:t>
      </w:r>
      <w:r>
        <w:rPr>
          <w:rFonts w:ascii="Arial" w:eastAsia="Arial" w:hAnsi="Arial" w:cs="Arial"/>
          <w:color w:val="000000"/>
          <w:sz w:val="24"/>
          <w:szCs w:val="24"/>
        </w:rPr>
        <w:t>s agreed with the Authority/Buyer except where the Authority/Buyer has given its prior written consent to an alternative arrangement.</w:t>
      </w:r>
    </w:p>
    <w:p w:rsidR="00B135A5" w:rsidRDefault="002F6ADE">
      <w:pPr>
        <w:numPr>
          <w:ilvl w:val="0"/>
          <w:numId w:val="9"/>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any device which is used to Process Authority/Buyer Data meets all of the security requirem</w:t>
      </w:r>
      <w:r>
        <w:rPr>
          <w:rFonts w:ascii="Arial" w:eastAsia="Arial" w:hAnsi="Arial" w:cs="Arial"/>
          <w:color w:val="000000"/>
          <w:sz w:val="24"/>
          <w:szCs w:val="24"/>
        </w:rPr>
        <w:t xml:space="preserve">ents set out in the NCSC End User Devices Platform Security Guidance, a copy of which can be found at: </w:t>
      </w:r>
      <w:hyperlink r:id="rId8">
        <w:r>
          <w:rPr>
            <w:rFonts w:ascii="Arial" w:eastAsia="Arial" w:hAnsi="Arial" w:cs="Arial"/>
            <w:color w:val="0000FF"/>
            <w:u w:val="single"/>
          </w:rPr>
          <w:t>https://www.ncsc.gov.uk/guidance/end-user-device-security</w:t>
        </w:r>
      </w:hyperlink>
      <w:r>
        <w:rPr>
          <w:rFonts w:ascii="Arial" w:eastAsia="Arial" w:hAnsi="Arial" w:cs="Arial"/>
          <w:color w:val="000000"/>
          <w:sz w:val="24"/>
          <w:szCs w:val="24"/>
        </w:rPr>
        <w:t>.</w:t>
      </w:r>
    </w:p>
    <w:p w:rsidR="00B135A5" w:rsidRDefault="00B135A5">
      <w:pPr>
        <w:pBdr>
          <w:top w:val="nil"/>
          <w:left w:val="nil"/>
          <w:bottom w:val="nil"/>
          <w:right w:val="nil"/>
          <w:between w:val="nil"/>
        </w:pBdr>
        <w:spacing w:after="0" w:line="240" w:lineRule="auto"/>
        <w:ind w:left="720"/>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Testing e.g. </w:t>
      </w:r>
      <w:r>
        <w:rPr>
          <w:rFonts w:ascii="Arial" w:eastAsia="Arial" w:hAnsi="Arial" w:cs="Arial"/>
          <w:color w:val="000000"/>
          <w:sz w:val="24"/>
          <w:szCs w:val="24"/>
        </w:rPr>
        <w:t>The</w:t>
      </w:r>
      <w:r>
        <w:rPr>
          <w:rFonts w:ascii="Arial" w:eastAsia="Arial" w:hAnsi="Arial" w:cs="Arial"/>
          <w:color w:val="000000"/>
          <w:sz w:val="24"/>
          <w:szCs w:val="24"/>
        </w:rPr>
        <w:t xml:space="preserve"> Supplier shall at their own cost and expense, procure a CHECK or CREST Certified Supplier to perform an ITHC or Penetration Test prior to any live Authority/Buyer data being transferred into their systems. The ITHC scope must be agreed with the Authority/</w:t>
      </w:r>
      <w:r>
        <w:rPr>
          <w:rFonts w:ascii="Arial" w:eastAsia="Arial" w:hAnsi="Arial" w:cs="Arial"/>
          <w:color w:val="000000"/>
          <w:sz w:val="24"/>
          <w:szCs w:val="24"/>
        </w:rPr>
        <w:t>Buyer to ensure it covers all the relevant parts of the system that processes, stores or hosts Authority/Buyer data.</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Networking e.g. </w:t>
      </w:r>
      <w:r>
        <w:rPr>
          <w:rFonts w:ascii="Arial" w:eastAsia="Arial" w:hAnsi="Arial" w:cs="Arial"/>
          <w:color w:val="000000"/>
          <w:sz w:val="24"/>
          <w:szCs w:val="24"/>
        </w:rPr>
        <w:t xml:space="preserve">The Supplier shall ensure that any Authority/Buyer Data which it causes to be transmitted over any public network (including the Internet, mobile </w:t>
      </w:r>
      <w:r>
        <w:rPr>
          <w:rFonts w:ascii="Arial" w:eastAsia="Arial" w:hAnsi="Arial" w:cs="Arial"/>
          <w:color w:val="000000"/>
          <w:sz w:val="24"/>
          <w:szCs w:val="24"/>
        </w:rPr>
        <w:lastRenderedPageBreak/>
        <w:t>networks or un-protected enterprise network) or to a mobile device shall be encrypted when transmitted.</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Perso</w:t>
      </w:r>
      <w:r>
        <w:rPr>
          <w:rFonts w:ascii="Arial" w:eastAsia="Arial" w:hAnsi="Arial" w:cs="Arial"/>
          <w:b/>
          <w:color w:val="000000"/>
          <w:sz w:val="24"/>
          <w:szCs w:val="24"/>
        </w:rPr>
        <w:t xml:space="preserve">nnel Security e.g. </w:t>
      </w:r>
      <w:r>
        <w:rPr>
          <w:rFonts w:ascii="Arial" w:eastAsia="Arial" w:hAnsi="Arial" w:cs="Arial"/>
          <w:color w:val="000000"/>
          <w:sz w:val="24"/>
          <w:szCs w:val="24"/>
        </w:rPr>
        <w:t>All Supplier Personnel shall be subject to a pre-employment check before they may participate in the provision and or management of the Services. Such pre-employment checks must include all pre-employment checks which are required by the</w:t>
      </w:r>
      <w:r>
        <w:rPr>
          <w:rFonts w:ascii="Arial" w:eastAsia="Arial" w:hAnsi="Arial" w:cs="Arial"/>
          <w:color w:val="000000"/>
          <w:sz w:val="24"/>
          <w:szCs w:val="24"/>
        </w:rPr>
        <w:t xml:space="preserve"> HMG Baseline Personnel Security Standard or equivalent including: verification of the individual's identity; verification of the individual's nationality and immigration status; and,</w:t>
      </w:r>
    </w:p>
    <w:p w:rsidR="00B135A5" w:rsidRDefault="002F6ADE">
      <w:pPr>
        <w:spacing w:after="0" w:line="240" w:lineRule="auto"/>
        <w:rPr>
          <w:rFonts w:ascii="Arial" w:eastAsia="Arial" w:hAnsi="Arial" w:cs="Arial"/>
          <w:color w:val="000000"/>
          <w:sz w:val="24"/>
          <w:szCs w:val="24"/>
        </w:rPr>
      </w:pPr>
      <w:r>
        <w:rPr>
          <w:rFonts w:ascii="Arial" w:eastAsia="Arial" w:hAnsi="Arial" w:cs="Arial"/>
          <w:color w:val="000000"/>
          <w:sz w:val="24"/>
          <w:szCs w:val="24"/>
        </w:rPr>
        <w:t>verification of the individual's employment history; verification of the</w:t>
      </w:r>
      <w:r>
        <w:rPr>
          <w:rFonts w:ascii="Arial" w:eastAsia="Arial" w:hAnsi="Arial" w:cs="Arial"/>
          <w:color w:val="000000"/>
          <w:sz w:val="24"/>
          <w:szCs w:val="24"/>
        </w:rPr>
        <w:t xml:space="preserve"> individual's criminal record. The Supplier maybe required to implement additional security vetting for some roles.</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Identity, Authentication and Access Control e.g. </w:t>
      </w:r>
      <w:r>
        <w:rPr>
          <w:rFonts w:ascii="Arial" w:eastAsia="Arial" w:hAnsi="Arial" w:cs="Arial"/>
          <w:color w:val="000000"/>
          <w:sz w:val="24"/>
          <w:szCs w:val="24"/>
        </w:rPr>
        <w:t>The Supplier must operate an appropriate access control regime to ensure that users and ad</w:t>
      </w:r>
      <w:r>
        <w:rPr>
          <w:rFonts w:ascii="Arial" w:eastAsia="Arial" w:hAnsi="Arial" w:cs="Arial"/>
          <w:color w:val="000000"/>
          <w:sz w:val="24"/>
          <w:szCs w:val="24"/>
        </w:rPr>
        <w:t>ministrators of the service are uniquely identified. The Supplier must retain records of access to the physical sites and to the service.</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Data Destruction/Deletion e.g. </w:t>
      </w:r>
      <w:r>
        <w:rPr>
          <w:rFonts w:ascii="Arial" w:eastAsia="Arial" w:hAnsi="Arial" w:cs="Arial"/>
          <w:color w:val="000000"/>
          <w:sz w:val="24"/>
          <w:szCs w:val="24"/>
        </w:rPr>
        <w:t>The Supplier must be able to demonstrate they can supply a copy of all data on request</w:t>
      </w:r>
      <w:r>
        <w:rPr>
          <w:rFonts w:ascii="Arial" w:eastAsia="Arial" w:hAnsi="Arial" w:cs="Arial"/>
          <w:color w:val="000000"/>
          <w:sz w:val="24"/>
          <w:szCs w:val="24"/>
        </w:rPr>
        <w:t xml:space="preserve"> or at termination of the service, and must be able to securely erase or destroy all data and media that the Authority/Buyer data has been stored and processed on.</w:t>
      </w:r>
    </w:p>
    <w:p w:rsidR="00B135A5" w:rsidRDefault="00B135A5">
      <w:pPr>
        <w:spacing w:after="0" w:line="240" w:lineRule="auto"/>
        <w:rPr>
          <w:rFonts w:ascii="Arial" w:eastAsia="Arial" w:hAnsi="Arial" w:cs="Arial"/>
          <w:b/>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Audit and Protective Monitoring e.g. </w:t>
      </w:r>
      <w:r>
        <w:rPr>
          <w:rFonts w:ascii="Arial" w:eastAsia="Arial" w:hAnsi="Arial" w:cs="Arial"/>
          <w:color w:val="000000"/>
          <w:sz w:val="24"/>
          <w:szCs w:val="24"/>
        </w:rPr>
        <w:t xml:space="preserve">The Supplier shall collect audit records which relate </w:t>
      </w:r>
      <w:r>
        <w:rPr>
          <w:rFonts w:ascii="Arial" w:eastAsia="Arial" w:hAnsi="Arial" w:cs="Arial"/>
          <w:color w:val="000000"/>
          <w:sz w:val="24"/>
          <w:szCs w:val="24"/>
        </w:rPr>
        <w:t>to security events in delivery of the service or that would support the analysis of potential and actual compromises. In order to facilitate effective monitoring and forensic readiness such Supplier audit records should (as a minimum) include regular repor</w:t>
      </w:r>
      <w:r>
        <w:rPr>
          <w:rFonts w:ascii="Arial" w:eastAsia="Arial" w:hAnsi="Arial" w:cs="Arial"/>
          <w:color w:val="000000"/>
          <w:sz w:val="24"/>
          <w:szCs w:val="24"/>
        </w:rPr>
        <w:t>ts and alerts setting out details of access by users of the service, to enable the identification of (without limitation) changing access trends, any unusual patterns of usage and/or accounts accessing higher than average amounts of Authority/Buyer Data. T</w:t>
      </w:r>
      <w:r>
        <w:rPr>
          <w:rFonts w:ascii="Arial" w:eastAsia="Arial" w:hAnsi="Arial" w:cs="Arial"/>
          <w:color w:val="000000"/>
          <w:sz w:val="24"/>
          <w:szCs w:val="24"/>
        </w:rPr>
        <w:t>he retention periods for audit records and event logs must be agreed with the Authority/Buyer and documented.</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Location of Authority/Buyer Data e.g. </w:t>
      </w:r>
      <w:r>
        <w:rPr>
          <w:rFonts w:ascii="Arial" w:eastAsia="Arial" w:hAnsi="Arial" w:cs="Arial"/>
          <w:color w:val="000000"/>
          <w:sz w:val="24"/>
          <w:szCs w:val="24"/>
        </w:rPr>
        <w:t>The Supplier shall not, and shall procure that none of its Sub-contractors, process Authority/Buyer Data outside the EEA without the prior written consent of the Authority/Buyer and the Supplier shall not change where it or any of its Sub-</w:t>
      </w:r>
      <w:proofErr w:type="gramStart"/>
      <w:r>
        <w:rPr>
          <w:rFonts w:ascii="Arial" w:eastAsia="Arial" w:hAnsi="Arial" w:cs="Arial"/>
          <w:color w:val="000000"/>
          <w:sz w:val="24"/>
          <w:szCs w:val="24"/>
        </w:rPr>
        <w:t>contractors</w:t>
      </w:r>
      <w:proofErr w:type="gramEnd"/>
      <w:r>
        <w:rPr>
          <w:rFonts w:ascii="Arial" w:eastAsia="Arial" w:hAnsi="Arial" w:cs="Arial"/>
          <w:color w:val="000000"/>
          <w:sz w:val="24"/>
          <w:szCs w:val="24"/>
        </w:rPr>
        <w:t xml:space="preserve"> proce</w:t>
      </w:r>
      <w:r>
        <w:rPr>
          <w:rFonts w:ascii="Arial" w:eastAsia="Arial" w:hAnsi="Arial" w:cs="Arial"/>
          <w:color w:val="000000"/>
          <w:sz w:val="24"/>
          <w:szCs w:val="24"/>
        </w:rPr>
        <w:t>ss Authority/Buyer Data without the Authority/Buyer's prior written consent which may be subject to conditions.</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Vulnerabilities and Corrective Action e.g. </w:t>
      </w:r>
      <w:r>
        <w:rPr>
          <w:rFonts w:ascii="Arial" w:eastAsia="Arial" w:hAnsi="Arial" w:cs="Arial"/>
          <w:color w:val="000000"/>
          <w:sz w:val="24"/>
          <w:szCs w:val="24"/>
        </w:rPr>
        <w:t>Suppliers shall procure and implement security patches to vulnerabilities in accordance with the tim</w:t>
      </w:r>
      <w:r>
        <w:rPr>
          <w:rFonts w:ascii="Arial" w:eastAsia="Arial" w:hAnsi="Arial" w:cs="Arial"/>
          <w:color w:val="000000"/>
          <w:sz w:val="24"/>
          <w:szCs w:val="24"/>
        </w:rPr>
        <w:t>escales specified in the NCSC Cloud Security Principle 5.</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Suppliers must ensure that all COTS Software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COTS Software be kept up to date such that all Supplier COTS Software and Third Party COTS Software are always in mainstream support.</w:t>
      </w:r>
    </w:p>
    <w:p w:rsidR="00B135A5" w:rsidRDefault="00B135A5">
      <w:pPr>
        <w:spacing w:after="0" w:line="240" w:lineRule="auto"/>
        <w:rPr>
          <w:rFonts w:ascii="Arial" w:eastAsia="Arial" w:hAnsi="Arial" w:cs="Arial"/>
          <w:color w:val="000000"/>
          <w:sz w:val="24"/>
          <w:szCs w:val="24"/>
        </w:rPr>
      </w:pPr>
    </w:p>
    <w:p w:rsidR="00B135A5" w:rsidRDefault="002F6ADE">
      <w:pPr>
        <w:spacing w:after="0" w:line="240" w:lineRule="auto"/>
        <w:rPr>
          <w:rFonts w:ascii="Arial" w:eastAsia="Arial" w:hAnsi="Arial" w:cs="Arial"/>
          <w:color w:val="000000"/>
          <w:sz w:val="24"/>
          <w:szCs w:val="24"/>
        </w:rPr>
      </w:pPr>
      <w:r>
        <w:rPr>
          <w:rFonts w:ascii="Arial" w:eastAsia="Arial" w:hAnsi="Arial" w:cs="Arial"/>
          <w:b/>
          <w:color w:val="000000"/>
          <w:sz w:val="24"/>
          <w:szCs w:val="24"/>
        </w:rPr>
        <w:t>S</w:t>
      </w:r>
      <w:r>
        <w:rPr>
          <w:rFonts w:ascii="Arial" w:eastAsia="Arial" w:hAnsi="Arial" w:cs="Arial"/>
          <w:b/>
          <w:color w:val="000000"/>
          <w:sz w:val="24"/>
          <w:szCs w:val="24"/>
        </w:rPr>
        <w:t xml:space="preserve">ecure Architecture e.g. </w:t>
      </w:r>
      <w:r>
        <w:rPr>
          <w:rFonts w:ascii="Arial" w:eastAsia="Arial" w:hAnsi="Arial" w:cs="Arial"/>
          <w:color w:val="000000"/>
          <w:sz w:val="24"/>
          <w:szCs w:val="24"/>
        </w:rPr>
        <w:t>Suppliers should design the service in accordance with:</w:t>
      </w:r>
    </w:p>
    <w:p w:rsidR="00B135A5" w:rsidRDefault="002F6ADE">
      <w:pPr>
        <w:numPr>
          <w:ilvl w:val="0"/>
          <w:numId w:val="10"/>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NCSC "</w:t>
      </w:r>
      <w:r>
        <w:rPr>
          <w:rFonts w:ascii="Arial" w:eastAsia="Arial" w:hAnsi="Arial" w:cs="Arial"/>
          <w:color w:val="1155CD"/>
          <w:sz w:val="24"/>
          <w:szCs w:val="24"/>
        </w:rPr>
        <w:t>Security Design Principles for Digital Services</w:t>
      </w:r>
      <w:r>
        <w:rPr>
          <w:rFonts w:ascii="Arial" w:eastAsia="Arial" w:hAnsi="Arial" w:cs="Arial"/>
          <w:color w:val="000000"/>
          <w:sz w:val="24"/>
          <w:szCs w:val="24"/>
        </w:rPr>
        <w:t>"</w:t>
      </w:r>
    </w:p>
    <w:p w:rsidR="00B135A5" w:rsidRDefault="002F6ADE">
      <w:pPr>
        <w:numPr>
          <w:ilvl w:val="0"/>
          <w:numId w:val="10"/>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NCSC "</w:t>
      </w:r>
      <w:r>
        <w:rPr>
          <w:rFonts w:ascii="Arial" w:eastAsia="Arial" w:hAnsi="Arial" w:cs="Arial"/>
          <w:color w:val="1155CD"/>
          <w:sz w:val="24"/>
          <w:szCs w:val="24"/>
        </w:rPr>
        <w:t>Bulk Data Principles</w:t>
      </w:r>
      <w:r>
        <w:rPr>
          <w:rFonts w:ascii="Arial" w:eastAsia="Arial" w:hAnsi="Arial" w:cs="Arial"/>
          <w:color w:val="000000"/>
          <w:sz w:val="24"/>
          <w:szCs w:val="24"/>
        </w:rPr>
        <w:t>"</w:t>
      </w:r>
    </w:p>
    <w:p w:rsidR="00B135A5" w:rsidRDefault="002F6ADE">
      <w:pPr>
        <w:numPr>
          <w:ilvl w:val="0"/>
          <w:numId w:val="10"/>
        </w:numPr>
        <w:pBdr>
          <w:top w:val="nil"/>
          <w:left w:val="nil"/>
          <w:bottom w:val="nil"/>
          <w:right w:val="nil"/>
          <w:between w:val="nil"/>
        </w:pBdr>
        <w:rPr>
          <w:rFonts w:ascii="Arial" w:eastAsia="Arial" w:hAnsi="Arial" w:cs="Arial"/>
          <w:b/>
          <w:color w:val="000000"/>
          <w:sz w:val="24"/>
          <w:szCs w:val="24"/>
        </w:rPr>
      </w:pPr>
      <w:r>
        <w:rPr>
          <w:rFonts w:ascii="Arial" w:eastAsia="Arial" w:hAnsi="Arial" w:cs="Arial"/>
          <w:color w:val="000000"/>
          <w:sz w:val="24"/>
          <w:szCs w:val="24"/>
        </w:rPr>
        <w:t>NSCS "</w:t>
      </w:r>
      <w:r>
        <w:rPr>
          <w:rFonts w:ascii="Arial" w:eastAsia="Arial" w:hAnsi="Arial" w:cs="Arial"/>
          <w:color w:val="1155CD"/>
          <w:sz w:val="24"/>
          <w:szCs w:val="24"/>
        </w:rPr>
        <w:t>Cloud Security Principles</w:t>
      </w:r>
      <w:r>
        <w:rPr>
          <w:rFonts w:ascii="Arial" w:eastAsia="Arial" w:hAnsi="Arial" w:cs="Arial"/>
          <w:color w:val="000000"/>
          <w:sz w:val="24"/>
          <w:szCs w:val="24"/>
        </w:rPr>
        <w:t>"</w:t>
      </w: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B135A5">
      <w:pPr>
        <w:rPr>
          <w:rFonts w:ascii="Arial" w:eastAsia="Arial" w:hAnsi="Arial" w:cs="Arial"/>
          <w:b/>
          <w:sz w:val="24"/>
          <w:szCs w:val="24"/>
        </w:rPr>
      </w:pPr>
    </w:p>
    <w:p w:rsidR="00B135A5" w:rsidRDefault="002F6ADE">
      <w:pPr>
        <w:rPr>
          <w:rFonts w:ascii="Arial" w:eastAsia="Arial" w:hAnsi="Arial" w:cs="Arial"/>
          <w:sz w:val="24"/>
          <w:szCs w:val="24"/>
        </w:rPr>
      </w:pPr>
      <w:r>
        <w:rPr>
          <w:rFonts w:ascii="Arial" w:eastAsia="Arial" w:hAnsi="Arial" w:cs="Arial"/>
          <w:b/>
          <w:sz w:val="24"/>
          <w:szCs w:val="24"/>
        </w:rPr>
        <w:t>Annex 3 - Joint Controller Agreement – Not Applicable</w:t>
      </w:r>
    </w:p>
    <w:p w:rsidR="00B135A5" w:rsidRDefault="002F6AD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B135A5" w:rsidRDefault="002F6ADE">
      <w:pPr>
        <w:keepNext/>
        <w:rPr>
          <w:rFonts w:ascii="Arial" w:eastAsia="Arial" w:hAnsi="Arial" w:cs="Arial"/>
          <w:sz w:val="24"/>
          <w:szCs w:val="24"/>
        </w:rPr>
      </w:pPr>
      <w:bookmarkStart w:id="17" w:name="_heading=h.gjdgxs" w:colFirst="0" w:colLast="0"/>
      <w:bookmarkEnd w:id="17"/>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3 (Joint Controller Agreement) in replacement of pa</w:t>
      </w:r>
      <w:r>
        <w:rPr>
          <w:rFonts w:ascii="Arial" w:eastAsia="Arial" w:hAnsi="Arial" w:cs="Arial"/>
          <w:sz w:val="24"/>
          <w:szCs w:val="24"/>
        </w:rPr>
        <w:t xml:space="preserve">ragraphs 3-16 of Joint Schedule 11 (Where one Party is Controller and the other Party is Processor) and paragraphs 18-28 of Joint Schedule 11 (Independent Controllers of Personal Data). Accordingly, the Parties each undertake to comply with the applicable </w:t>
      </w:r>
      <w:r>
        <w:rPr>
          <w:rFonts w:ascii="Arial" w:eastAsia="Arial" w:hAnsi="Arial" w:cs="Arial"/>
          <w:sz w:val="24"/>
          <w:szCs w:val="24"/>
        </w:rPr>
        <w:t xml:space="preserve">Data Protection Legislation in respect of their Processing of such Personal Data as Data Controllers. </w:t>
      </w:r>
    </w:p>
    <w:p w:rsidR="00B135A5" w:rsidRDefault="002F6ADE">
      <w:pPr>
        <w:keepNext/>
        <w:rPr>
          <w:rFonts w:ascii="Arial" w:eastAsia="Arial" w:hAnsi="Arial" w:cs="Arial"/>
          <w:sz w:val="24"/>
          <w:szCs w:val="24"/>
        </w:rPr>
      </w:pPr>
      <w:r>
        <w:rPr>
          <w:rFonts w:ascii="Arial" w:eastAsia="Arial" w:hAnsi="Arial" w:cs="Arial"/>
          <w:sz w:val="24"/>
          <w:szCs w:val="24"/>
          <w:highlight w:val="white"/>
        </w:rPr>
        <w:t xml:space="preserve">1.2 The Parties agree that </w:t>
      </w:r>
      <w:r>
        <w:rPr>
          <w:rFonts w:ascii="Arial" w:eastAsia="Arial" w:hAnsi="Arial" w:cs="Arial"/>
          <w:sz w:val="24"/>
          <w:szCs w:val="24"/>
        </w:rPr>
        <w:t xml:space="preserve">the [Supplier/Relevant Authority]: </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w:t>
      </w:r>
      <w:r>
        <w:rPr>
          <w:rFonts w:ascii="Arial" w:eastAsia="Arial" w:hAnsi="Arial" w:cs="Arial"/>
          <w:sz w:val="24"/>
          <w:szCs w:val="24"/>
          <w:highlight w:val="white"/>
        </w:rPr>
        <w:t>native in connection with the exercise of their rights as Data Subjects and for any enquiries concerning their Personal Data or privacy;</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w:t>
      </w:r>
      <w:r>
        <w:rPr>
          <w:rFonts w:ascii="Arial" w:eastAsia="Arial" w:hAnsi="Arial" w:cs="Arial"/>
          <w:sz w:val="24"/>
          <w:szCs w:val="24"/>
        </w:rPr>
        <w:t>s 13 and 14 of the UK GDPR;</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B135A5" w:rsidRDefault="002F6AD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w:t>
      </w:r>
      <w:r>
        <w:rPr>
          <w:rFonts w:ascii="Arial" w:eastAsia="Arial" w:hAnsi="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eastAsia="Arial" w:hAnsi="Arial" w:cs="Arial"/>
          <w:sz w:val="24"/>
          <w:szCs w:val="24"/>
        </w:rPr>
        <w:t>e the terms of that essence. This must be outlined in the [Supplier’s/Relevant Authority’s] privacy policy (which must be readily available by hyperlink or otherwise on all of its public facing services and marketing).</w:t>
      </w:r>
    </w:p>
    <w:p w:rsidR="00B135A5" w:rsidRDefault="002F6ADE">
      <w:pPr>
        <w:rPr>
          <w:rFonts w:ascii="Arial" w:eastAsia="Arial" w:hAnsi="Arial" w:cs="Arial"/>
          <w:sz w:val="24"/>
          <w:szCs w:val="24"/>
        </w:rPr>
      </w:pPr>
      <w:r>
        <w:rPr>
          <w:rFonts w:ascii="Arial" w:eastAsia="Arial" w:hAnsi="Arial" w:cs="Arial"/>
          <w:sz w:val="24"/>
          <w:szCs w:val="24"/>
        </w:rPr>
        <w:t>1.3 Notwithstanding the terms of clau</w:t>
      </w:r>
      <w:r>
        <w:rPr>
          <w:rFonts w:ascii="Arial" w:eastAsia="Arial" w:hAnsi="Arial" w:cs="Arial"/>
          <w:sz w:val="24"/>
          <w:szCs w:val="24"/>
        </w:rPr>
        <w:t>se 1.2, the Parties acknowledge that a Data Subject has the right to exercise their legal rights under the Data Protection Legislation as against the relevant Party as Controller.</w:t>
      </w: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and the Relevant Authority each un</w:t>
      </w:r>
      <w:r>
        <w:rPr>
          <w:rFonts w:ascii="Arial" w:eastAsia="Arial" w:hAnsi="Arial" w:cs="Arial"/>
          <w:color w:val="000000"/>
          <w:sz w:val="24"/>
          <w:szCs w:val="24"/>
        </w:rPr>
        <w:t xml:space="preserve">dertake that they shall: </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report to the other Party every [x] months on:</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 xml:space="preserve">the volume of requests from Data Subjects (or third parties on their behalf) to rectify, block or erase any Personal Data; </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w:t>
      </w:r>
      <w:r>
        <w:rPr>
          <w:rFonts w:ascii="Arial" w:eastAsia="Arial" w:hAnsi="Arial" w:cs="Arial"/>
          <w:sz w:val="24"/>
          <w:szCs w:val="24"/>
        </w:rPr>
        <w:t xml:space="preserve"> obligations under applicable Data Protection Legislation;</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any requests from any third party for disclosure of Personal Data where </w:t>
      </w:r>
      <w:r>
        <w:rPr>
          <w:rFonts w:ascii="Arial" w:eastAsia="Arial" w:hAnsi="Arial" w:cs="Arial"/>
          <w:sz w:val="24"/>
          <w:szCs w:val="24"/>
        </w:rPr>
        <w:t>compliance with such request is required or purported to be required by Law,</w:t>
      </w:r>
    </w:p>
    <w:p w:rsidR="00B135A5" w:rsidRDefault="002F6ADE">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w:t>
      </w:r>
      <w:r>
        <w:rPr>
          <w:rFonts w:ascii="Arial" w:eastAsia="Arial" w:hAnsi="Arial" w:cs="Arial"/>
          <w:sz w:val="24"/>
          <w:szCs w:val="24"/>
        </w:rPr>
        <w:t>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w:t>
      </w:r>
      <w:r>
        <w:rPr>
          <w:rFonts w:ascii="Arial" w:eastAsia="Arial" w:hAnsi="Arial" w:cs="Arial"/>
          <w:sz w:val="24"/>
          <w:szCs w:val="24"/>
        </w:rPr>
        <w:t>he relevant timescales set out in the Data Protection Legislation;</w:t>
      </w:r>
    </w:p>
    <w:p w:rsidR="00B135A5" w:rsidRDefault="002F6ADE">
      <w:pPr>
        <w:numPr>
          <w:ilvl w:val="2"/>
          <w:numId w:val="1"/>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ensure consent has been obtained from the Data Subject prior to disclosing or transferring the Personal Data to the third party. For the avoidance of doubt, the third party to which Personal Data is transferred mu</w:t>
      </w:r>
      <w:r>
        <w:rPr>
          <w:rFonts w:ascii="Arial" w:eastAsia="Arial" w:hAnsi="Arial" w:cs="Arial"/>
          <w:sz w:val="24"/>
          <w:szCs w:val="24"/>
        </w:rPr>
        <w:t>st be subject to equivalent obligations which are no less onerous than those set out in this Annex;</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w:t>
      </w:r>
      <w:r>
        <w:rPr>
          <w:rFonts w:ascii="Arial" w:eastAsia="Arial" w:hAnsi="Arial" w:cs="Arial"/>
          <w:sz w:val="24"/>
          <w:szCs w:val="24"/>
        </w:rPr>
        <w:t>ation;</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w:t>
      </w:r>
      <w:r>
        <w:rPr>
          <w:rFonts w:ascii="Arial" w:eastAsia="Arial" w:hAnsi="Arial" w:cs="Arial"/>
          <w:sz w:val="24"/>
          <w:szCs w:val="24"/>
        </w:rPr>
        <w:t>sure of or access to the Personal Data;</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w:t>
      </w:r>
      <w:r>
        <w:rPr>
          <w:rFonts w:ascii="Arial" w:eastAsia="Arial" w:hAnsi="Arial" w:cs="Arial"/>
          <w:sz w:val="24"/>
          <w:szCs w:val="24"/>
        </w:rPr>
        <w:t xml:space="preserve"> 3 (Joint Controller Agreement) and those in respect of Confidential Information; </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w:t>
      </w:r>
      <w:r>
        <w:rPr>
          <w:rFonts w:ascii="Arial" w:eastAsia="Arial" w:hAnsi="Arial" w:cs="Arial"/>
          <w:sz w:val="24"/>
          <w:szCs w:val="24"/>
        </w:rPr>
        <w:t>rsonal Data to any third party where the that Party would not be permitted to do so; and</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w:t>
      </w:r>
      <w:r>
        <w:rPr>
          <w:rFonts w:ascii="Arial" w:eastAsia="Arial" w:hAnsi="Arial" w:cs="Arial"/>
          <w:sz w:val="24"/>
          <w:szCs w:val="24"/>
        </w:rPr>
        <w:t>as in place Protective Measures as appropriate to protect against a Data Loss Event having taken account of the:</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B135A5" w:rsidRDefault="002F6ADE">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w:t>
      </w:r>
      <w:r>
        <w:rPr>
          <w:rFonts w:ascii="Arial" w:eastAsia="Arial" w:hAnsi="Arial" w:cs="Arial"/>
          <w:sz w:val="24"/>
          <w:szCs w:val="24"/>
        </w:rPr>
        <w:t>g to that Data Subject that it holds; and</w:t>
      </w:r>
    </w:p>
    <w:p w:rsidR="00B135A5" w:rsidRDefault="002F6ADE">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Data Loss Event. </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w:t>
      </w:r>
      <w:r>
        <w:rPr>
          <w:rFonts w:ascii="Arial" w:eastAsia="Arial" w:hAnsi="Arial" w:cs="Arial"/>
          <w:color w:val="000000"/>
          <w:sz w:val="24"/>
          <w:szCs w:val="24"/>
        </w:rPr>
        <w:t>er applicable Data Protection Legislation and shall not perform its obligations under this Annex in such a way as to cause the other Joint Controller to breach any of its obligations under applicable Data Protection Legislation to the extent it is aware, o</w:t>
      </w:r>
      <w:r>
        <w:rPr>
          <w:rFonts w:ascii="Arial" w:eastAsia="Arial" w:hAnsi="Arial" w:cs="Arial"/>
          <w:color w:val="000000"/>
          <w:sz w:val="24"/>
          <w:szCs w:val="24"/>
        </w:rPr>
        <w:t>r ought reasonably to have been aware, that the same would be a breach of such obligations.</w:t>
      </w: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Data Loss Event or circumstances that are likely to give rise to a Data Loss Event, prov</w:t>
      </w:r>
      <w:r>
        <w:rPr>
          <w:rFonts w:ascii="Arial" w:eastAsia="Arial" w:hAnsi="Arial" w:cs="Arial"/>
          <w:color w:val="000000"/>
          <w:sz w:val="24"/>
          <w:szCs w:val="24"/>
        </w:rPr>
        <w:t>iding the other Party and its advisors with:</w:t>
      </w:r>
    </w:p>
    <w:p w:rsidR="00B135A5" w:rsidRDefault="002F6ADE">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Data Loss Event under the Data Protection Legislation; and</w:t>
      </w:r>
    </w:p>
    <w:p w:rsidR="00B135A5" w:rsidRDefault="002F6ADE">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B135A5" w:rsidRDefault="002F6ADE">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Data Loss Event and its cause, containing and recovering the compromised Personal Data and compliance with the applicable guidance;</w:t>
      </w:r>
    </w:p>
    <w:p w:rsidR="00B135A5" w:rsidRDefault="002F6ADE">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w:t>
      </w:r>
      <w:r>
        <w:rPr>
          <w:rFonts w:ascii="Arial" w:eastAsia="Arial" w:hAnsi="Arial" w:cs="Arial"/>
          <w:sz w:val="24"/>
          <w:szCs w:val="24"/>
        </w:rPr>
        <w:t>ding taking such reasonable steps as are directed by the other Party to assist in the investigation, mitigation and remediation of a Data Loss Event;</w:t>
      </w:r>
    </w:p>
    <w:p w:rsidR="00B135A5" w:rsidRDefault="002F6ADE">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w:t>
      </w:r>
      <w:r>
        <w:rPr>
          <w:rFonts w:ascii="Arial" w:eastAsia="Arial" w:hAnsi="Arial" w:cs="Arial"/>
          <w:sz w:val="24"/>
          <w:szCs w:val="24"/>
        </w:rPr>
        <w:t>ting to the Data Loss Event; and/or</w:t>
      </w:r>
    </w:p>
    <w:p w:rsidR="00B135A5" w:rsidRDefault="002F6ADE">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Data Loss Event, with complete information relating to the Data Loss Event, including, without limitation, the informa</w:t>
      </w:r>
      <w:r>
        <w:rPr>
          <w:rFonts w:ascii="Arial" w:eastAsia="Arial" w:hAnsi="Arial" w:cs="Arial"/>
          <w:sz w:val="24"/>
          <w:szCs w:val="24"/>
        </w:rPr>
        <w:t>tion set out in Clause 3.2.</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Data Loss Event as it was  that Party’s own data at its</w:t>
      </w:r>
      <w:r>
        <w:rPr>
          <w:rFonts w:ascii="Arial" w:eastAsia="Arial" w:hAnsi="Arial" w:cs="Arial"/>
          <w:color w:val="000000"/>
          <w:sz w:val="24"/>
          <w:szCs w:val="24"/>
        </w:rPr>
        <w:t xml:space="preserve"> own cost with all possible speed and shall provide the other Party with all reasonable assistance in respect of any such Data Loss Event, including providing the other Party, as soon as possible and within 48 hours of the Data Loss Event relating to the D</w:t>
      </w:r>
      <w:r>
        <w:rPr>
          <w:rFonts w:ascii="Arial" w:eastAsia="Arial" w:hAnsi="Arial" w:cs="Arial"/>
          <w:color w:val="000000"/>
          <w:sz w:val="24"/>
          <w:szCs w:val="24"/>
        </w:rPr>
        <w:t>ata Loss Event, in particular:</w:t>
      </w:r>
    </w:p>
    <w:p w:rsidR="00B135A5" w:rsidRDefault="002F6AD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Data Loss Event; </w:t>
      </w:r>
    </w:p>
    <w:p w:rsidR="00B135A5" w:rsidRDefault="002F6AD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B135A5" w:rsidRDefault="002F6AD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B135A5" w:rsidRDefault="002F6AD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name and contact details of the Supplier’s Data Protection Officer or other relevant contact </w:t>
      </w:r>
      <w:r>
        <w:rPr>
          <w:rFonts w:ascii="Arial" w:eastAsia="Arial" w:hAnsi="Arial" w:cs="Arial"/>
          <w:sz w:val="24"/>
          <w:szCs w:val="24"/>
        </w:rPr>
        <w:t>from whom more information may be obtained;</w:t>
      </w:r>
    </w:p>
    <w:p w:rsidR="00B135A5" w:rsidRDefault="002F6AD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Data Loss Event; and</w:t>
      </w:r>
    </w:p>
    <w:p w:rsidR="00B135A5" w:rsidRDefault="002F6AD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Data Loss Event.</w:t>
      </w: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B135A5" w:rsidRDefault="002F6AD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3 and the Data Protection Legislation; and/or</w:t>
      </w:r>
    </w:p>
    <w:p w:rsidR="00B135A5" w:rsidRDefault="002F6AD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B135A5" w:rsidRDefault="00B135A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B135A5" w:rsidRDefault="002F6AD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B135A5" w:rsidRDefault="00B135A5">
      <w:pPr>
        <w:pBdr>
          <w:top w:val="nil"/>
          <w:left w:val="nil"/>
          <w:bottom w:val="nil"/>
          <w:right w:val="nil"/>
          <w:between w:val="nil"/>
        </w:pBdr>
        <w:spacing w:after="80"/>
        <w:ind w:left="11"/>
        <w:rPr>
          <w:rFonts w:ascii="Arial" w:eastAsia="Arial" w:hAnsi="Arial" w:cs="Arial"/>
          <w:sz w:val="24"/>
          <w:szCs w:val="24"/>
        </w:rPr>
      </w:pPr>
    </w:p>
    <w:p w:rsidR="00B135A5" w:rsidRDefault="002F6ADE">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B135A5" w:rsidRDefault="00B135A5">
      <w:pPr>
        <w:keepNext/>
        <w:rPr>
          <w:rFonts w:ascii="Arial" w:eastAsia="Arial" w:hAnsi="Arial" w:cs="Arial"/>
          <w:sz w:val="24"/>
          <w:szCs w:val="24"/>
        </w:rPr>
      </w:pP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B135A5" w:rsidRDefault="002F6ADE">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B135A5" w:rsidRDefault="002F6ADE">
      <w:pPr>
        <w:ind w:left="720"/>
        <w:rPr>
          <w:rFonts w:ascii="Arial" w:eastAsia="Arial" w:hAnsi="Arial" w:cs="Arial"/>
          <w:b/>
          <w:sz w:val="24"/>
          <w:szCs w:val="24"/>
        </w:rPr>
      </w:pPr>
      <w:r>
        <w:rPr>
          <w:rFonts w:ascii="Arial" w:eastAsia="Arial" w:hAnsi="Arial" w:cs="Arial"/>
          <w:b/>
          <w:sz w:val="24"/>
          <w:szCs w:val="24"/>
        </w:rPr>
        <w:t xml:space="preserve">[Guidance: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Data Loss Event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B135A5" w:rsidRDefault="002F6AD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w:t>
      </w:r>
      <w:r>
        <w:rPr>
          <w:rFonts w:ascii="Arial" w:eastAsia="Arial" w:hAnsi="Arial" w:cs="Arial"/>
          <w:sz w:val="24"/>
          <w:szCs w:val="24"/>
        </w:rPr>
        <w:t>uthority is responsible for the Data Loss Event, in that it is caused as a result of the actions or inaction of the Relevant Authority, its employees, agents, contractors (other than the Supplier) or systems and procedures controlled by the Relevant Author</w:t>
      </w:r>
      <w:r>
        <w:rPr>
          <w:rFonts w:ascii="Arial" w:eastAsia="Arial" w:hAnsi="Arial" w:cs="Arial"/>
          <w:sz w:val="24"/>
          <w:szCs w:val="24"/>
        </w:rPr>
        <w:t>ity, then the Relevant Authority shall be responsible for the payment of such Financial Penalties. In this case, the Relevant Authority will conduct an internal audit and engage at its reasonable cost when necessary, an independent third party to conduct a</w:t>
      </w:r>
      <w:r>
        <w:rPr>
          <w:rFonts w:ascii="Arial" w:eastAsia="Arial" w:hAnsi="Arial" w:cs="Arial"/>
          <w:sz w:val="24"/>
          <w:szCs w:val="24"/>
        </w:rPr>
        <w:t xml:space="preserve">n audit of any such Data Loss Event.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Data</w:t>
      </w:r>
      <w:r>
        <w:rPr>
          <w:rFonts w:ascii="Arial" w:eastAsia="Arial" w:hAnsi="Arial" w:cs="Arial"/>
          <w:sz w:val="24"/>
          <w:szCs w:val="24"/>
        </w:rPr>
        <w:t xml:space="preserve"> Loss Event; </w:t>
      </w:r>
    </w:p>
    <w:p w:rsidR="00B135A5" w:rsidRDefault="002F6AD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Data Loss Event, in that it is not a Data Loss Event that the Relevant Authority is responsible for, then the Supplier shall be responsible for the payment of</w:t>
      </w:r>
      <w:r>
        <w:rPr>
          <w:rFonts w:ascii="Arial" w:eastAsia="Arial" w:hAnsi="Arial" w:cs="Arial"/>
          <w:sz w:val="24"/>
          <w:szCs w:val="24"/>
        </w:rPr>
        <w:t xml:space="preserve"> these Financial Penalties. The Supplier will provide to the Relevant Authority and its auditors, on request and at the Supplier’s sole cost, full cooperation and access to conduct a thorough audit of such Data Loss Event; or</w:t>
      </w:r>
    </w:p>
    <w:p w:rsidR="00B135A5" w:rsidRDefault="002F6AD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w:t>
      </w:r>
      <w:r>
        <w:rPr>
          <w:rFonts w:ascii="Arial" w:eastAsia="Arial" w:hAnsi="Arial" w:cs="Arial"/>
          <w:sz w:val="24"/>
          <w:szCs w:val="24"/>
        </w:rPr>
        <w:t>y is expressed by the Information Commissioner, then the Relevant Authority and the Supplier shall work together to investigate the relevant Data Loss Event and allocate responsibility for any Financial Penalties as outlined above, or by agreement to split</w:t>
      </w:r>
      <w:r>
        <w:rPr>
          <w:rFonts w:ascii="Arial" w:eastAsia="Arial" w:hAnsi="Arial" w:cs="Arial"/>
          <w:sz w:val="24"/>
          <w:szCs w:val="24"/>
        </w:rPr>
        <w:t xml:space="preserve"> any financial penalties equally if no responsibility for the Data Loss Event can be apportioned. In the event that the Parties do not agree such apportionment then such Dispute shall be referred to the Dispute Resolution Procedure set out in Clause 34 of </w:t>
      </w:r>
      <w:r>
        <w:rPr>
          <w:rFonts w:ascii="Arial" w:eastAsia="Arial" w:hAnsi="Arial" w:cs="Arial"/>
          <w:sz w:val="24"/>
          <w:szCs w:val="24"/>
        </w:rPr>
        <w:t xml:space="preserve">the Core Terms (Resolving disputes). </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claim brought before a court of competent jurisdiction (“Court”) by a third party in respect of a Data Loss Event, then unless the Parties ot</w:t>
      </w:r>
      <w:r>
        <w:rPr>
          <w:rFonts w:ascii="Arial" w:eastAsia="Arial" w:hAnsi="Arial" w:cs="Arial"/>
          <w:color w:val="000000"/>
          <w:sz w:val="24"/>
          <w:szCs w:val="24"/>
        </w:rPr>
        <w:t>herwise agree, the Party that is determined by the final decision of the court to be responsible for the Data Loss Event shall be liable for the losses arising from such Data Loss Event. Where both Parties are liable, the liability will be apportioned betw</w:t>
      </w:r>
      <w:r>
        <w:rPr>
          <w:rFonts w:ascii="Arial" w:eastAsia="Arial" w:hAnsi="Arial" w:cs="Arial"/>
          <w:color w:val="000000"/>
          <w:sz w:val="24"/>
          <w:szCs w:val="24"/>
        </w:rPr>
        <w:t xml:space="preserve">een the Parties in accordance with the decision of the Court.  </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Data Loss Event (the “Claim Losses”):</w:t>
      </w:r>
    </w:p>
    <w:p w:rsidR="00B135A5" w:rsidRDefault="002F6ADE">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Data</w:t>
      </w:r>
      <w:r>
        <w:rPr>
          <w:rFonts w:ascii="Arial" w:eastAsia="Arial" w:hAnsi="Arial" w:cs="Arial"/>
          <w:sz w:val="24"/>
          <w:szCs w:val="24"/>
        </w:rPr>
        <w:t xml:space="preserve"> Loss Event, then the Relevant Authority shall be responsible for the Claim Losses;</w:t>
      </w:r>
    </w:p>
    <w:p w:rsidR="00B135A5" w:rsidRDefault="002F6ADE">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the Supplier is responsible for the relevant Data Loss Event, then the Supplier shall be responsible for the Claim Losses: and</w:t>
      </w:r>
    </w:p>
    <w:p w:rsidR="00B135A5" w:rsidRDefault="002F6ADE">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responsibility for the relevant Data Lo</w:t>
      </w:r>
      <w:r>
        <w:rPr>
          <w:rFonts w:ascii="Arial" w:eastAsia="Arial" w:hAnsi="Arial" w:cs="Arial"/>
          <w:sz w:val="24"/>
          <w:szCs w:val="24"/>
        </w:rPr>
        <w:t xml:space="preserve">ss Event is unclear, then the Relevant Authority and the Supplier shall be responsible for the Claim Losses equally. </w:t>
      </w:r>
    </w:p>
    <w:p w:rsidR="00B135A5" w:rsidRDefault="00B135A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Data Loss Event, having regard to all the circumstances of the Data Loss Event and the legal and financial obligations of the Relevant Authority.</w:t>
      </w: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B135A5" w:rsidRDefault="002F6ADE">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w:t>
      </w:r>
      <w:r>
        <w:rPr>
          <w:rFonts w:ascii="Arial" w:eastAsia="Arial" w:hAnsi="Arial" w:cs="Arial"/>
          <w:sz w:val="24"/>
          <w:szCs w:val="24"/>
        </w:rPr>
        <w:t>ations under this Annex 3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B135A5" w:rsidRDefault="002F6AD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B135A5" w:rsidRDefault="002F6AD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rsidR="00B135A5" w:rsidRDefault="002F6AD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B135A5" w:rsidRDefault="00B135A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B135A5" w:rsidRDefault="002F6ADE">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B135A5" w:rsidRDefault="002F6ADE">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B135A5" w:rsidRDefault="00B135A5">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B135A5" w:rsidRDefault="00B135A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8" w:name="bookmark=id.1ksv4uv" w:colFirst="0" w:colLast="0"/>
      <w:bookmarkStart w:id="19" w:name="_heading=h.44sinio" w:colFirst="0" w:colLast="0"/>
      <w:bookmarkEnd w:id="18"/>
      <w:bookmarkEnd w:id="19"/>
    </w:p>
    <w:sectPr w:rsidR="00B135A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ADE" w:rsidRDefault="002F6ADE">
      <w:pPr>
        <w:spacing w:after="0" w:line="240" w:lineRule="auto"/>
      </w:pPr>
      <w:r>
        <w:separator/>
      </w:r>
    </w:p>
  </w:endnote>
  <w:endnote w:type="continuationSeparator" w:id="0">
    <w:p w:rsidR="002F6ADE" w:rsidRDefault="002F6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5A5" w:rsidRDefault="00B135A5">
    <w:pPr>
      <w:pBdr>
        <w:top w:val="nil"/>
        <w:left w:val="nil"/>
        <w:bottom w:val="nil"/>
        <w:right w:val="nil"/>
        <w:between w:val="nil"/>
      </w:pBdr>
      <w:tabs>
        <w:tab w:val="center" w:pos="4513"/>
        <w:tab w:val="right" w:pos="9026"/>
      </w:tabs>
      <w:spacing w:after="0" w:line="240" w:lineRule="auto"/>
      <w:rPr>
        <w:color w:val="000000"/>
      </w:rPr>
    </w:pPr>
  </w:p>
  <w:p w:rsidR="00B135A5" w:rsidRDefault="002F6ADE">
    <w:pPr>
      <w:pBdr>
        <w:top w:val="nil"/>
        <w:left w:val="nil"/>
        <w:bottom w:val="nil"/>
        <w:right w:val="nil"/>
        <w:between w:val="nil"/>
      </w:pBdr>
      <w:tabs>
        <w:tab w:val="center" w:pos="4513"/>
        <w:tab w:val="right" w:pos="9026"/>
      </w:tabs>
      <w:spacing w:after="0" w:line="240" w:lineRule="auto"/>
      <w:rPr>
        <w:color w:val="000000"/>
      </w:rPr>
    </w:pPr>
    <w:r>
      <w:rPr>
        <w:color w:val="000000"/>
      </w:rPr>
      <w:t>76698071.1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5A5" w:rsidRDefault="002F6AD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RM6098                                           </w:t>
    </w:r>
  </w:p>
  <w:p w:rsidR="00B135A5" w:rsidRDefault="002F6A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F14C3">
      <w:rPr>
        <w:rFonts w:ascii="Arial" w:eastAsia="Arial" w:hAnsi="Arial" w:cs="Arial"/>
        <w:color w:val="000000"/>
        <w:sz w:val="20"/>
        <w:szCs w:val="20"/>
      </w:rPr>
      <w:fldChar w:fldCharType="separate"/>
    </w:r>
    <w:r w:rsidR="006F14C3">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B135A5" w:rsidRDefault="002F6ADE">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rsidR="00B135A5" w:rsidRDefault="00B135A5">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5A5" w:rsidRDefault="002F6AD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B135A5" w:rsidRDefault="002F6A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B135A5" w:rsidRDefault="002F6AD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rsidR="00B135A5" w:rsidRDefault="002F6ADE">
    <w:pPr>
      <w:spacing w:after="0"/>
    </w:pPr>
    <w:r>
      <w:t>76698071.1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ADE" w:rsidRDefault="002F6ADE">
      <w:pPr>
        <w:spacing w:after="0" w:line="240" w:lineRule="auto"/>
      </w:pPr>
      <w:r>
        <w:separator/>
      </w:r>
    </w:p>
  </w:footnote>
  <w:footnote w:type="continuationSeparator" w:id="0">
    <w:p w:rsidR="002F6ADE" w:rsidRDefault="002F6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5A5" w:rsidRDefault="00B135A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5A5" w:rsidRDefault="002F6AD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B135A5" w:rsidRDefault="002F6A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5A5" w:rsidRDefault="002F6AD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-13328</wp:posOffset>
          </wp:positionV>
          <wp:extent cx="849085" cy="685627"/>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54141"/>
    <w:multiLevelType w:val="multilevel"/>
    <w:tmpl w:val="260868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544215"/>
    <w:multiLevelType w:val="multilevel"/>
    <w:tmpl w:val="AFB67AC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F07711"/>
    <w:multiLevelType w:val="multilevel"/>
    <w:tmpl w:val="40B4A1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245293"/>
    <w:multiLevelType w:val="multilevel"/>
    <w:tmpl w:val="4042AB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C24380B"/>
    <w:multiLevelType w:val="multilevel"/>
    <w:tmpl w:val="5D88AB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84104CD"/>
    <w:multiLevelType w:val="multilevel"/>
    <w:tmpl w:val="B09014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C6E2258"/>
    <w:multiLevelType w:val="multilevel"/>
    <w:tmpl w:val="9F6C5B00"/>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46A1322"/>
    <w:multiLevelType w:val="multilevel"/>
    <w:tmpl w:val="86E467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8932323"/>
    <w:multiLevelType w:val="multilevel"/>
    <w:tmpl w:val="42B8F2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CB337AD"/>
    <w:multiLevelType w:val="multilevel"/>
    <w:tmpl w:val="60D40CB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0660FBE"/>
    <w:multiLevelType w:val="multilevel"/>
    <w:tmpl w:val="205CDB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0DA7BBD"/>
    <w:multiLevelType w:val="multilevel"/>
    <w:tmpl w:val="B99C22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D402C5E"/>
    <w:multiLevelType w:val="multilevel"/>
    <w:tmpl w:val="B4AE1ED4"/>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34E5554"/>
    <w:multiLevelType w:val="multilevel"/>
    <w:tmpl w:val="90A82B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10"/>
  </w:num>
  <w:num w:numId="3">
    <w:abstractNumId w:val="5"/>
  </w:num>
  <w:num w:numId="4">
    <w:abstractNumId w:val="7"/>
  </w:num>
  <w:num w:numId="5">
    <w:abstractNumId w:val="3"/>
  </w:num>
  <w:num w:numId="6">
    <w:abstractNumId w:val="8"/>
  </w:num>
  <w:num w:numId="7">
    <w:abstractNumId w:val="11"/>
  </w:num>
  <w:num w:numId="8">
    <w:abstractNumId w:val="0"/>
  </w:num>
  <w:num w:numId="9">
    <w:abstractNumId w:val="2"/>
  </w:num>
  <w:num w:numId="10">
    <w:abstractNumId w:val="13"/>
  </w:num>
  <w:num w:numId="11">
    <w:abstractNumId w:val="4"/>
  </w:num>
  <w:num w:numId="12">
    <w:abstractNumId w:val="1"/>
  </w:num>
  <w:num w:numId="13">
    <w:abstractNumId w:val="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5A5"/>
    <w:rsid w:val="002F6ADE"/>
    <w:rsid w:val="006F14C3"/>
    <w:rsid w:val="00B135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742A6"/>
  <w15:docId w15:val="{B0506A75-4B02-4FC9-9E18-EF442C98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81AF7"/>
    <w:rPr>
      <w:color w:val="605E5C"/>
      <w:shd w:val="clear" w:color="auto" w:fill="E1DFDD"/>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n2x0yqbaZ7TgbwPT3sK4nvTRDQ==">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iZjh6Nm02bWFLb2h5WXRmdFo4ckJ6QkprMk5LVEli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6296</Words>
  <Characters>35891</Characters>
  <Application>Microsoft Office Word</Application>
  <DocSecurity>0</DocSecurity>
  <Lines>299</Lines>
  <Paragraphs>84</Paragraphs>
  <ScaleCrop>false</ScaleCrop>
  <Company/>
  <LinksUpToDate>false</LinksUpToDate>
  <CharactersWithSpaces>42103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Bagnall, Christopher Sqn Ldr (DCTT-Digital Ops SO2)</dc:creator>
  <cp:lastModifiedBy>Charlie Beresford</cp:lastModifiedBy>
  <cp:revision>2</cp:revision>
  <dcterms:created xsi:type="dcterms:W3CDTF">2024-07-01T13:20:00Z</dcterms:created>
  <dcterms:modified xsi:type="dcterms:W3CDTF">2024-10-23T09:20:00Z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y fmtid="{D5CDD505-2E9C-101B-9397-08002B2CF9AE}" pid="4" name="MSIP_Label_d8a60473-494b-4586-a1bb-b0e663054676_Enabled">
    <vt:lpwstr>true</vt:lpwstr>
  </property>
  <property fmtid="{D5CDD505-2E9C-101B-9397-08002B2CF9AE}" pid="5" name="MSIP_Label_d8a60473-494b-4586-a1bb-b0e663054676_SetDate">
    <vt:lpwstr>2024-06-17T10:08:03Z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3980d428-6c12-43b3-823f-e4d4064396fc</vt:lpwstr>
  </property>
  <property fmtid="{D5CDD505-2E9C-101B-9397-08002B2CF9AE}" pid="10" name="MSIP_Label_d8a60473-494b-4586-a1bb-b0e663054676_ContentBits">
    <vt:lpwstr>0</vt:lpwstr>
  </property>
</Properties>
</file>